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5B" w:rsidRPr="00E3225B" w:rsidRDefault="009D7A03" w:rsidP="00E3225B">
      <w:pPr>
        <w:pStyle w:val="NormalWeb"/>
        <w:shd w:val="clear" w:color="auto" w:fill="FFFFFF"/>
        <w:spacing w:before="0" w:beforeAutospacing="0" w:after="225" w:afterAutospacing="0"/>
        <w:rPr>
          <w:rFonts w:ascii="Open Sans" w:hAnsi="Open Sans"/>
          <w:color w:val="000000"/>
          <w:sz w:val="21"/>
          <w:szCs w:val="21"/>
        </w:rPr>
        <w:sectPr w:rsidR="00E3225B" w:rsidRPr="00E3225B" w:rsidSect="00DD6D80">
          <w:headerReference w:type="default" r:id="rId7"/>
          <w:pgSz w:w="11900" w:h="16840" w:code="9"/>
          <w:pgMar w:top="3254" w:right="1440" w:bottom="1930" w:left="1296" w:header="720" w:footer="720" w:gutter="0"/>
          <w:cols w:num="2" w:space="720"/>
          <w:docGrid w:linePitch="360"/>
        </w:sectPr>
      </w:pPr>
      <w:r>
        <w:rPr>
          <w:rFonts w:ascii="Open Sans" w:hAnsi="Open Sans"/>
          <w:noProof/>
          <w:color w:val="000000"/>
          <w:sz w:val="21"/>
          <w:szCs w:val="21"/>
          <w:lang w:val="en-CA" w:eastAsia="en-CA"/>
        </w:rPr>
        <mc:AlternateContent>
          <mc:Choice Requires="wps">
            <w:drawing>
              <wp:anchor distT="0" distB="0" distL="114300" distR="114300" simplePos="0" relativeHeight="251659264" behindDoc="0" locked="0" layoutInCell="1" allowOverlap="1" wp14:anchorId="01900105" wp14:editId="28C6ACD0">
                <wp:simplePos x="0" y="0"/>
                <wp:positionH relativeFrom="column">
                  <wp:posOffset>-99060</wp:posOffset>
                </wp:positionH>
                <wp:positionV relativeFrom="page">
                  <wp:posOffset>1104900</wp:posOffset>
                </wp:positionV>
                <wp:extent cx="4953000" cy="723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53000" cy="723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14492" w:rsidRDefault="00D14492" w:rsidP="00FB013B">
                            <w:pPr>
                              <w:rPr>
                                <w:rFonts w:ascii="Trebuchet MS" w:hAnsi="Trebuchet MS" w:cs="Arial (Body CS)"/>
                                <w:b/>
                                <w:bCs/>
                                <w:color w:val="FFFFFF" w:themeColor="background1"/>
                                <w:sz w:val="32"/>
                                <w:szCs w:val="52"/>
                              </w:rPr>
                            </w:pPr>
                            <w:r>
                              <w:rPr>
                                <w:rFonts w:ascii="Trebuchet MS" w:hAnsi="Trebuchet MS" w:cs="Arial (Body CS)"/>
                                <w:b/>
                                <w:bCs/>
                                <w:color w:val="FFFFFF" w:themeColor="background1"/>
                                <w:sz w:val="32"/>
                                <w:szCs w:val="52"/>
                              </w:rPr>
                              <w:t xml:space="preserve">GPEDC Action Area 2.2 </w:t>
                            </w:r>
                          </w:p>
                          <w:p w:rsidR="00FB013B" w:rsidRPr="00FB013B" w:rsidRDefault="00D14492" w:rsidP="00FB013B">
                            <w:pPr>
                              <w:rPr>
                                <w:rFonts w:cstheme="minorHAnsi"/>
                                <w:color w:val="000000"/>
                                <w:sz w:val="28"/>
                                <w:lang w:val="en-CA"/>
                              </w:rPr>
                            </w:pPr>
                            <w:r>
                              <w:rPr>
                                <w:rFonts w:cstheme="minorHAnsi"/>
                                <w:color w:val="000000"/>
                                <w:sz w:val="28"/>
                              </w:rPr>
                              <w:t xml:space="preserve">Concept Note - Piloting the Voluntary Guidelines for </w:t>
                            </w:r>
                            <w:r w:rsidR="00FB013B" w:rsidRPr="00FB013B">
                              <w:rPr>
                                <w:rFonts w:cstheme="minorHAnsi"/>
                                <w:color w:val="000000"/>
                                <w:sz w:val="28"/>
                              </w:rPr>
                              <w:t xml:space="preserve">Effective Triangular </w:t>
                            </w:r>
                            <w:r>
                              <w:rPr>
                                <w:rFonts w:cstheme="minorHAnsi"/>
                                <w:color w:val="000000"/>
                                <w:sz w:val="28"/>
                              </w:rPr>
                              <w:t>Cooperation</w:t>
                            </w:r>
                          </w:p>
                          <w:p w:rsidR="009D7A03" w:rsidRPr="00FB013B" w:rsidRDefault="009D7A03" w:rsidP="009D7A03">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00105" id="_x0000_t202" coordsize="21600,21600" o:spt="202" path="m,l,21600r21600,l21600,xe">
                <v:stroke joinstyle="miter"/>
                <v:path gradientshapeok="t" o:connecttype="rect"/>
              </v:shapetype>
              <v:shape id="Text Box 3" o:spid="_x0000_s1026" type="#_x0000_t202" style="position:absolute;margin-left:-7.8pt;margin-top:87pt;width:39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" filled="f" stroked="f">
                <v:textbox>
                  <w:txbxContent>
                    <w:p w:rsidR="00D14492" w:rsidRDefault="00D14492" w:rsidP="00FB013B">
                      <w:pPr>
                        <w:rPr>
                          <w:rFonts w:ascii="Trebuchet MS" w:hAnsi="Trebuchet MS" w:cs="Arial (Body CS)"/>
                          <w:b/>
                          <w:bCs/>
                          <w:color w:val="FFFFFF" w:themeColor="background1"/>
                          <w:sz w:val="32"/>
                          <w:szCs w:val="52"/>
                        </w:rPr>
                      </w:pPr>
                      <w:r>
                        <w:rPr>
                          <w:rFonts w:ascii="Trebuchet MS" w:hAnsi="Trebuchet MS" w:cs="Arial (Body CS)"/>
                          <w:b/>
                          <w:bCs/>
                          <w:color w:val="FFFFFF" w:themeColor="background1"/>
                          <w:sz w:val="32"/>
                          <w:szCs w:val="52"/>
                        </w:rPr>
                        <w:t xml:space="preserve">GPEDC Action Area 2.2 </w:t>
                      </w:r>
                    </w:p>
                    <w:p w:rsidR="00FB013B" w:rsidRPr="00FB013B" w:rsidRDefault="00D14492" w:rsidP="00FB013B">
                      <w:pPr>
                        <w:rPr>
                          <w:rFonts w:cstheme="minorHAnsi"/>
                          <w:color w:val="000000"/>
                          <w:sz w:val="28"/>
                          <w:lang w:val="en-CA"/>
                        </w:rPr>
                      </w:pPr>
                      <w:r>
                        <w:rPr>
                          <w:rFonts w:cstheme="minorHAnsi"/>
                          <w:color w:val="000000"/>
                          <w:sz w:val="28"/>
                        </w:rPr>
                        <w:t xml:space="preserve">Concept Note - Piloting the Voluntary Guidelines for </w:t>
                      </w:r>
                      <w:r w:rsidR="00FB013B" w:rsidRPr="00FB013B">
                        <w:rPr>
                          <w:rFonts w:cstheme="minorHAnsi"/>
                          <w:color w:val="000000"/>
                          <w:sz w:val="28"/>
                        </w:rPr>
                        <w:t xml:space="preserve">Effective Triangular </w:t>
                      </w:r>
                      <w:r>
                        <w:rPr>
                          <w:rFonts w:cstheme="minorHAnsi"/>
                          <w:color w:val="000000"/>
                          <w:sz w:val="28"/>
                        </w:rPr>
                        <w:t>Cooperation</w:t>
                      </w:r>
                    </w:p>
                    <w:p w:rsidR="009D7A03" w:rsidRPr="00FB013B" w:rsidRDefault="009D7A03" w:rsidP="009D7A03">
                      <w:pPr>
                        <w:rPr>
                          <w:sz w:val="12"/>
                        </w:rPr>
                      </w:pPr>
                    </w:p>
                  </w:txbxContent>
                </v:textbox>
                <w10:wrap type="square" anchory="page"/>
              </v:shape>
            </w:pict>
          </mc:Fallback>
        </mc:AlternateContent>
      </w:r>
    </w:p>
    <w:p w:rsidR="009D7A03" w:rsidRDefault="00E3225B" w:rsidP="00D14492">
      <w:pPr>
        <w:pStyle w:val="Heading1"/>
      </w:pPr>
      <w:r>
        <w:rPr>
          <w:rFonts w:ascii="Open Sans" w:hAnsi="Open Sans"/>
          <w:noProof/>
          <w:color w:val="000000"/>
          <w:sz w:val="21"/>
          <w:szCs w:val="21"/>
          <w:lang w:val="en-CA" w:eastAsia="en-CA"/>
        </w:rPr>
        <w:drawing>
          <wp:anchor distT="0" distB="0" distL="114300" distR="114300" simplePos="0" relativeHeight="251661312" behindDoc="1" locked="0" layoutInCell="1" allowOverlap="1" wp14:anchorId="5F2E63C0" wp14:editId="01EA33FF">
            <wp:simplePos x="0" y="0"/>
            <wp:positionH relativeFrom="margin">
              <wp:align>left</wp:align>
            </wp:positionH>
            <wp:positionV relativeFrom="paragraph">
              <wp:posOffset>16510</wp:posOffset>
            </wp:positionV>
            <wp:extent cx="1619250" cy="161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370390046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00FB013B">
        <w:t>About the G</w:t>
      </w:r>
      <w:r w:rsidR="00D14492">
        <w:t>lobal Partnership for Effective Development Co-operation (GPEDC)</w:t>
      </w:r>
      <w:r w:rsidR="009D7A03">
        <w:t xml:space="preserve"> </w:t>
      </w:r>
    </w:p>
    <w:p w:rsidR="00FB013B" w:rsidRDefault="00D14492" w:rsidP="00E3225B">
      <w:pPr>
        <w:pStyle w:val="NormalWeb"/>
        <w:shd w:val="clear" w:color="auto" w:fill="FFFFFF"/>
        <w:spacing w:before="0" w:beforeAutospacing="0"/>
        <w:rPr>
          <w:rFonts w:ascii="Open Sans" w:hAnsi="Open Sans"/>
          <w:color w:val="000000"/>
          <w:sz w:val="21"/>
          <w:szCs w:val="21"/>
        </w:rPr>
      </w:pPr>
      <w:r w:rsidRPr="00D14492">
        <w:rPr>
          <w:rFonts w:ascii="Open Sans" w:hAnsi="Open Sans"/>
          <w:color w:val="000000"/>
          <w:sz w:val="21"/>
          <w:szCs w:val="21"/>
        </w:rPr>
        <w:t xml:space="preserve">The Global Partnership for Effective Development Co-operation (GPEDC) is the primary </w:t>
      </w:r>
      <w:proofErr w:type="spellStart"/>
      <w:r w:rsidRPr="00D14492">
        <w:rPr>
          <w:rFonts w:ascii="Open Sans" w:hAnsi="Open Sans"/>
          <w:color w:val="000000"/>
          <w:sz w:val="21"/>
          <w:szCs w:val="21"/>
        </w:rPr>
        <w:t>multistakeholder</w:t>
      </w:r>
      <w:proofErr w:type="spellEnd"/>
      <w:r w:rsidRPr="00D14492">
        <w:rPr>
          <w:rFonts w:ascii="Open Sans" w:hAnsi="Open Sans"/>
          <w:color w:val="000000"/>
          <w:sz w:val="21"/>
          <w:szCs w:val="21"/>
        </w:rPr>
        <w:t xml:space="preserve"> vehicle for driving development effectiveness, to maximize the effectiveness of all forms of co-operation for development for the shared benefits of people, planet, prosperity and peace. It brings together governments, bilateral and multilateral organizations, civil society, the private sector and representatives from parliaments and trade unions among others, who are committed to strengthening the effectiveness of their partnerships for development. The GPEDC supports practical implementation of effective development co-operation principles, promotes mutual accountability, and works to sustain political momentum for more effective co-operation and partnerships. </w:t>
      </w:r>
    </w:p>
    <w:p w:rsidR="00D14492" w:rsidRPr="00D14492" w:rsidRDefault="00D14492" w:rsidP="00E3225B">
      <w:pPr>
        <w:pStyle w:val="NormalWeb"/>
        <w:shd w:val="clear" w:color="auto" w:fill="FFFFFF"/>
        <w:rPr>
          <w:rFonts w:ascii="Open Sans" w:hAnsi="Open Sans"/>
          <w:color w:val="000000"/>
          <w:sz w:val="21"/>
          <w:szCs w:val="21"/>
        </w:rPr>
      </w:pPr>
      <w:r w:rsidRPr="00D14492">
        <w:rPr>
          <w:rFonts w:ascii="Open Sans" w:hAnsi="Open Sans"/>
          <w:color w:val="000000"/>
          <w:sz w:val="21"/>
          <w:szCs w:val="21"/>
        </w:rPr>
        <w:t xml:space="preserve">The Global Partnership for Effective Development Co-operation is committed to building more effective development partnerships across a series of action areas that help accelerate the implementation of the 2030 Agenda. The overall vision of the Work </w:t>
      </w:r>
      <w:proofErr w:type="spellStart"/>
      <w:r w:rsidRPr="00D14492">
        <w:rPr>
          <w:rFonts w:ascii="Open Sans" w:hAnsi="Open Sans"/>
          <w:color w:val="000000"/>
          <w:sz w:val="21"/>
          <w:szCs w:val="21"/>
        </w:rPr>
        <w:t>Programme</w:t>
      </w:r>
      <w:proofErr w:type="spellEnd"/>
      <w:r w:rsidRPr="00D14492">
        <w:rPr>
          <w:rFonts w:ascii="Open Sans" w:hAnsi="Open Sans"/>
          <w:color w:val="000000"/>
          <w:sz w:val="21"/>
          <w:szCs w:val="21"/>
        </w:rPr>
        <w:t xml:space="preserve"> 2020-2022 is to ensure that effective development co-operation partnerships help accelerate the implementation of the 2030 Agenda. The Partnership's Work </w:t>
      </w:r>
      <w:proofErr w:type="spellStart"/>
      <w:r w:rsidRPr="00D14492">
        <w:rPr>
          <w:rFonts w:ascii="Open Sans" w:hAnsi="Open Sans"/>
          <w:color w:val="000000"/>
          <w:sz w:val="21"/>
          <w:szCs w:val="21"/>
        </w:rPr>
        <w:t>Programme</w:t>
      </w:r>
      <w:proofErr w:type="spellEnd"/>
      <w:r w:rsidRPr="00D14492">
        <w:rPr>
          <w:rFonts w:ascii="Open Sans" w:hAnsi="Open Sans"/>
          <w:color w:val="000000"/>
          <w:sz w:val="21"/>
          <w:szCs w:val="21"/>
        </w:rPr>
        <w:t xml:space="preserve">, adopted in May 2020, draws on the results of the 2018 monitoring exercise and guidance from the Co-Chairs and Steering Committee. </w:t>
      </w:r>
    </w:p>
    <w:p w:rsidR="00D14492" w:rsidRPr="00D14492" w:rsidRDefault="00D14492" w:rsidP="00D14492">
      <w:pPr>
        <w:pStyle w:val="NormalWeb"/>
        <w:shd w:val="clear" w:color="auto" w:fill="FFFFFF"/>
        <w:spacing w:after="225"/>
        <w:rPr>
          <w:rFonts w:ascii="Open Sans" w:hAnsi="Open Sans"/>
          <w:color w:val="000000"/>
          <w:sz w:val="21"/>
          <w:szCs w:val="21"/>
        </w:rPr>
      </w:pPr>
      <w:r w:rsidRPr="00D14492">
        <w:rPr>
          <w:rFonts w:ascii="Open Sans" w:hAnsi="Open Sans"/>
          <w:color w:val="000000"/>
          <w:sz w:val="21"/>
          <w:szCs w:val="21"/>
        </w:rPr>
        <w:t>The b</w:t>
      </w:r>
      <w:r w:rsidR="001C784A">
        <w:rPr>
          <w:rFonts w:ascii="Open Sans" w:hAnsi="Open Sans"/>
          <w:color w:val="000000"/>
          <w:sz w:val="21"/>
          <w:szCs w:val="21"/>
        </w:rPr>
        <w:t xml:space="preserve">elow three strategic priorities </w:t>
      </w:r>
      <w:r w:rsidRPr="00D14492">
        <w:rPr>
          <w:rFonts w:ascii="Open Sans" w:hAnsi="Open Sans"/>
          <w:color w:val="000000"/>
          <w:sz w:val="21"/>
          <w:szCs w:val="21"/>
        </w:rPr>
        <w:t>guide the Partnership's contribution to begin the "Decade of Action" and see the Partnership to its next High-Level Meeting on effectiveness scheduled for 2022.</w:t>
      </w:r>
    </w:p>
    <w:p w:rsidR="00D14492" w:rsidRPr="00D14492" w:rsidRDefault="00D14492" w:rsidP="00E3225B">
      <w:pPr>
        <w:pStyle w:val="NormalWeb"/>
        <w:numPr>
          <w:ilvl w:val="0"/>
          <w:numId w:val="2"/>
        </w:numPr>
        <w:shd w:val="clear" w:color="auto" w:fill="FFFFFF"/>
        <w:rPr>
          <w:rFonts w:ascii="Open Sans" w:hAnsi="Open Sans"/>
          <w:color w:val="000000"/>
          <w:sz w:val="21"/>
          <w:szCs w:val="21"/>
        </w:rPr>
      </w:pPr>
      <w:r w:rsidRPr="00D14492">
        <w:rPr>
          <w:rFonts w:ascii="Open Sans" w:hAnsi="Open Sans"/>
          <w:color w:val="000000"/>
          <w:sz w:val="21"/>
          <w:szCs w:val="21"/>
        </w:rPr>
        <w:t>Development effectiveness for acceleration progress to 2030</w:t>
      </w:r>
    </w:p>
    <w:p w:rsidR="00D14492" w:rsidRPr="00D14492" w:rsidRDefault="00D14492" w:rsidP="00D14492">
      <w:pPr>
        <w:pStyle w:val="NormalWeb"/>
        <w:numPr>
          <w:ilvl w:val="0"/>
          <w:numId w:val="2"/>
        </w:numPr>
        <w:shd w:val="clear" w:color="auto" w:fill="FFFFFF"/>
        <w:spacing w:after="225"/>
        <w:rPr>
          <w:rFonts w:ascii="Open Sans" w:hAnsi="Open Sans"/>
          <w:color w:val="000000"/>
          <w:sz w:val="21"/>
          <w:szCs w:val="21"/>
        </w:rPr>
      </w:pPr>
      <w:r w:rsidRPr="00D14492">
        <w:rPr>
          <w:rFonts w:ascii="Open Sans" w:hAnsi="Open Sans"/>
          <w:color w:val="000000"/>
          <w:sz w:val="21"/>
          <w:szCs w:val="21"/>
        </w:rPr>
        <w:t>Building better partnerships</w:t>
      </w:r>
    </w:p>
    <w:p w:rsidR="00D14492" w:rsidRPr="00D14492" w:rsidRDefault="00D14492" w:rsidP="00D14492">
      <w:pPr>
        <w:pStyle w:val="NormalWeb"/>
        <w:numPr>
          <w:ilvl w:val="0"/>
          <w:numId w:val="2"/>
        </w:numPr>
        <w:shd w:val="clear" w:color="auto" w:fill="FFFFFF"/>
        <w:spacing w:after="225"/>
        <w:rPr>
          <w:rFonts w:ascii="Open Sans" w:hAnsi="Open Sans"/>
          <w:color w:val="000000"/>
          <w:sz w:val="21"/>
          <w:szCs w:val="21"/>
        </w:rPr>
      </w:pPr>
      <w:r w:rsidRPr="00D14492">
        <w:rPr>
          <w:rFonts w:ascii="Open Sans" w:hAnsi="Open Sans"/>
          <w:color w:val="000000"/>
          <w:sz w:val="21"/>
          <w:szCs w:val="21"/>
        </w:rPr>
        <w:t>Leveraging monitoring for action</w:t>
      </w:r>
    </w:p>
    <w:p w:rsidR="001C784A" w:rsidRPr="00FB013B" w:rsidRDefault="00D14492" w:rsidP="00D14492">
      <w:pPr>
        <w:pStyle w:val="NormalWeb"/>
        <w:shd w:val="clear" w:color="auto" w:fill="FFFFFF"/>
        <w:spacing w:after="225"/>
        <w:rPr>
          <w:rFonts w:ascii="Open Sans" w:hAnsi="Open Sans"/>
          <w:color w:val="000000"/>
          <w:sz w:val="21"/>
          <w:szCs w:val="21"/>
        </w:rPr>
      </w:pPr>
      <w:r w:rsidRPr="00D14492">
        <w:rPr>
          <w:rFonts w:ascii="Open Sans" w:hAnsi="Open Sans"/>
          <w:color w:val="000000"/>
          <w:sz w:val="21"/>
          <w:szCs w:val="21"/>
        </w:rPr>
        <w:t xml:space="preserve">The Work </w:t>
      </w:r>
      <w:proofErr w:type="spellStart"/>
      <w:r w:rsidRPr="00D14492">
        <w:rPr>
          <w:rFonts w:ascii="Open Sans" w:hAnsi="Open Sans"/>
          <w:color w:val="000000"/>
          <w:sz w:val="21"/>
          <w:szCs w:val="21"/>
        </w:rPr>
        <w:t>Programme</w:t>
      </w:r>
      <w:proofErr w:type="spellEnd"/>
      <w:r w:rsidRPr="00D14492">
        <w:rPr>
          <w:rFonts w:ascii="Open Sans" w:hAnsi="Open Sans"/>
          <w:color w:val="000000"/>
          <w:sz w:val="21"/>
          <w:szCs w:val="21"/>
        </w:rPr>
        <w:t xml:space="preserve"> is implemented by multi-stakeholder groups and org</w:t>
      </w:r>
      <w:r>
        <w:rPr>
          <w:rFonts w:ascii="Open Sans" w:hAnsi="Open Sans"/>
          <w:color w:val="000000"/>
          <w:sz w:val="21"/>
          <w:szCs w:val="21"/>
        </w:rPr>
        <w:t>anized in thematic action areas</w:t>
      </w:r>
      <w:r w:rsidR="001C784A">
        <w:rPr>
          <w:rFonts w:ascii="Open Sans" w:hAnsi="Open Sans"/>
          <w:color w:val="000000"/>
          <w:sz w:val="21"/>
          <w:szCs w:val="21"/>
        </w:rPr>
        <w:t>.</w:t>
      </w:r>
      <w:r w:rsidR="0060646A">
        <w:rPr>
          <w:rFonts w:ascii="Open Sans" w:hAnsi="Open Sans"/>
          <w:color w:val="000000"/>
          <w:sz w:val="21"/>
          <w:szCs w:val="21"/>
        </w:rPr>
        <w:t xml:space="preserve"> </w:t>
      </w:r>
      <w:r w:rsidR="001C784A" w:rsidRPr="0060646A">
        <w:rPr>
          <w:rFonts w:ascii="Open Sans" w:hAnsi="Open Sans"/>
          <w:b/>
          <w:color w:val="000000"/>
          <w:sz w:val="21"/>
          <w:szCs w:val="21"/>
        </w:rPr>
        <w:t xml:space="preserve">Action </w:t>
      </w:r>
      <w:r w:rsidR="001C784A" w:rsidRPr="0060646A">
        <w:rPr>
          <w:rFonts w:ascii="Open Sans" w:hAnsi="Open Sans"/>
          <w:b/>
          <w:color w:val="000000"/>
          <w:sz w:val="21"/>
          <w:szCs w:val="21"/>
        </w:rPr>
        <w:lastRenderedPageBreak/>
        <w:t>Area 2.2</w:t>
      </w:r>
      <w:r w:rsidR="001C784A">
        <w:rPr>
          <w:rFonts w:ascii="Open Sans" w:hAnsi="Open Sans"/>
          <w:color w:val="000000"/>
          <w:sz w:val="21"/>
          <w:szCs w:val="21"/>
        </w:rPr>
        <w:t xml:space="preserve"> focusses on effective triangular development co-operation, and is led by Canada.</w:t>
      </w:r>
    </w:p>
    <w:p w:rsidR="009D7A03" w:rsidRPr="00D14492" w:rsidRDefault="00FB013B" w:rsidP="009D7A03">
      <w:pPr>
        <w:pStyle w:val="Heading1"/>
        <w:rPr>
          <w:lang w:val="en-CA"/>
        </w:rPr>
      </w:pPr>
      <w:r w:rsidRPr="00D14492">
        <w:rPr>
          <w:lang w:val="en-CA"/>
        </w:rPr>
        <w:t>About Action Area 2.2</w:t>
      </w:r>
      <w:r w:rsidR="009D7A03" w:rsidRPr="00D14492">
        <w:rPr>
          <w:lang w:val="en-CA"/>
        </w:rPr>
        <w:t xml:space="preserve"> </w:t>
      </w:r>
      <w:r w:rsidR="00D14492">
        <w:rPr>
          <w:lang w:val="en-CA"/>
        </w:rPr>
        <w:t>– Effective Triangular Development Co-operation</w:t>
      </w:r>
    </w:p>
    <w:p w:rsidR="0060646A" w:rsidRDefault="00D14492" w:rsidP="00D14492">
      <w:pPr>
        <w:pStyle w:val="NormalWeb"/>
        <w:shd w:val="clear" w:color="auto" w:fill="FFFFFF"/>
        <w:spacing w:before="0" w:beforeAutospacing="0" w:after="225" w:afterAutospacing="0"/>
        <w:rPr>
          <w:rFonts w:ascii="Open Sans" w:hAnsi="Open Sans"/>
          <w:b/>
          <w:color w:val="000000"/>
          <w:sz w:val="21"/>
          <w:szCs w:val="21"/>
          <w:lang w:val="en-CA"/>
        </w:rPr>
      </w:pPr>
      <w:r w:rsidRPr="00D14492">
        <w:rPr>
          <w:rFonts w:ascii="Open Sans" w:hAnsi="Open Sans"/>
          <w:color w:val="000000"/>
          <w:sz w:val="21"/>
          <w:szCs w:val="21"/>
          <w:lang w:val="en-CA"/>
        </w:rPr>
        <w:t xml:space="preserve">Triangular co-operation offers an adaptable and flexible approach to evolving development challenges, building on the strengths of different actors to find innovative, cost-effective and context-specific solutions. The second United Nations High-level Conference on South-South co-operation (BAPA+40) recognised the crucial role of triangular co-operation in the achievement of the Sustainable Development Goals (SDGs). Complementing the work of the Global Partnership initiative (GPI) on Effective Triangular Co-operation, </w:t>
      </w:r>
      <w:r w:rsidRPr="0060646A">
        <w:rPr>
          <w:rFonts w:ascii="Open Sans" w:hAnsi="Open Sans"/>
          <w:b/>
          <w:color w:val="000000"/>
          <w:sz w:val="21"/>
          <w:szCs w:val="21"/>
          <w:lang w:val="en-CA"/>
        </w:rPr>
        <w:t>this action area focuses on mainstreaming and building greater awareness of effective triangular co-operation, including by promoting the implementation of the Voluntary Guidelines for Effective Triangular Co-operation.</w:t>
      </w:r>
    </w:p>
    <w:p w:rsidR="009D7A03" w:rsidRDefault="00D14492" w:rsidP="00D14492">
      <w:pPr>
        <w:pStyle w:val="NormalWeb"/>
        <w:shd w:val="clear" w:color="auto" w:fill="FFFFFF"/>
        <w:spacing w:before="0" w:beforeAutospacing="0" w:after="225" w:afterAutospacing="0"/>
        <w:rPr>
          <w:rFonts w:ascii="Open Sans" w:hAnsi="Open Sans"/>
          <w:color w:val="000000"/>
          <w:sz w:val="21"/>
          <w:szCs w:val="21"/>
          <w:lang w:val="en-CA"/>
        </w:rPr>
      </w:pPr>
      <w:r w:rsidRPr="00D14492">
        <w:rPr>
          <w:rFonts w:ascii="Open Sans" w:hAnsi="Open Sans"/>
          <w:color w:val="000000"/>
          <w:sz w:val="21"/>
          <w:szCs w:val="21"/>
          <w:lang w:val="en-CA"/>
        </w:rPr>
        <w:t xml:space="preserve">The outcomes of this Action Area will inform the development and dissemination of practical guidance on more effective triangular co-operation. </w:t>
      </w:r>
    </w:p>
    <w:p w:rsidR="00FB013B" w:rsidRPr="00D14492" w:rsidRDefault="00FB013B" w:rsidP="009D7A03">
      <w:pPr>
        <w:pStyle w:val="NormalWeb"/>
        <w:shd w:val="clear" w:color="auto" w:fill="FFFFFF"/>
        <w:spacing w:before="0" w:beforeAutospacing="0" w:after="225" w:afterAutospacing="0"/>
        <w:rPr>
          <w:rFonts w:asciiTheme="majorHAnsi" w:eastAsiaTheme="majorEastAsia" w:hAnsiTheme="majorHAnsi" w:cstheme="majorBidi"/>
          <w:color w:val="2E74B5" w:themeColor="accent1" w:themeShade="BF"/>
          <w:sz w:val="32"/>
          <w:szCs w:val="32"/>
          <w:lang w:val="en-CA"/>
        </w:rPr>
      </w:pPr>
      <w:r w:rsidRPr="00D14492">
        <w:rPr>
          <w:rFonts w:asciiTheme="majorHAnsi" w:eastAsiaTheme="majorEastAsia" w:hAnsiTheme="majorHAnsi" w:cstheme="majorBidi"/>
          <w:color w:val="2E74B5" w:themeColor="accent1" w:themeShade="BF"/>
          <w:sz w:val="32"/>
          <w:szCs w:val="32"/>
          <w:lang w:val="en-CA"/>
        </w:rPr>
        <w:t>Piloting the Voluntary Guidelines for Effective Triangular Cooperation</w:t>
      </w:r>
    </w:p>
    <w:p w:rsidR="001C784A" w:rsidRDefault="001C784A" w:rsidP="001C784A">
      <w:pPr>
        <w:pStyle w:val="NormalWeb"/>
        <w:shd w:val="clear" w:color="auto" w:fill="FFFFFF"/>
        <w:spacing w:before="0" w:beforeAutospacing="0" w:after="225" w:afterAutospacing="0"/>
        <w:rPr>
          <w:rFonts w:ascii="Open Sans" w:hAnsi="Open Sans"/>
          <w:color w:val="000000"/>
          <w:sz w:val="21"/>
          <w:szCs w:val="21"/>
          <w:lang w:val="en-CA"/>
        </w:rPr>
      </w:pPr>
      <w:r>
        <w:rPr>
          <w:rFonts w:ascii="Open Sans" w:hAnsi="Open Sans"/>
          <w:color w:val="000000"/>
          <w:sz w:val="21"/>
          <w:szCs w:val="21"/>
          <w:lang w:val="en-CA"/>
        </w:rPr>
        <w:t xml:space="preserve">The Action Area’s work focus is on piloting the Voluntary Guidelines by means of country case studies. </w:t>
      </w:r>
      <w:r w:rsidRPr="001C784A">
        <w:rPr>
          <w:rFonts w:ascii="Open Sans" w:hAnsi="Open Sans"/>
          <w:color w:val="000000"/>
          <w:sz w:val="21"/>
          <w:szCs w:val="21"/>
          <w:lang w:val="en-CA"/>
        </w:rPr>
        <w:t>With a focus on country cases where there is experience of triangular cooperation projects from the beneficiary role perspective</w:t>
      </w:r>
      <w:r>
        <w:rPr>
          <w:rFonts w:ascii="Open Sans" w:hAnsi="Open Sans"/>
          <w:color w:val="000000"/>
          <w:sz w:val="21"/>
          <w:szCs w:val="21"/>
          <w:lang w:val="en-CA"/>
        </w:rPr>
        <w:t>, t</w:t>
      </w:r>
      <w:r w:rsidRPr="001C784A">
        <w:rPr>
          <w:rFonts w:ascii="Open Sans" w:hAnsi="Open Sans"/>
          <w:color w:val="000000"/>
          <w:sz w:val="21"/>
          <w:szCs w:val="21"/>
          <w:lang w:val="en-CA"/>
        </w:rPr>
        <w:t xml:space="preserve">he </w:t>
      </w:r>
      <w:r>
        <w:rPr>
          <w:rFonts w:ascii="Open Sans" w:hAnsi="Open Sans"/>
          <w:color w:val="000000"/>
          <w:sz w:val="21"/>
          <w:szCs w:val="21"/>
          <w:lang w:val="en-CA"/>
        </w:rPr>
        <w:t>case</w:t>
      </w:r>
      <w:r w:rsidRPr="001C784A">
        <w:rPr>
          <w:rFonts w:ascii="Open Sans" w:hAnsi="Open Sans"/>
          <w:color w:val="000000"/>
          <w:sz w:val="21"/>
          <w:szCs w:val="21"/>
          <w:lang w:val="en-CA"/>
        </w:rPr>
        <w:t xml:space="preserve"> stud</w:t>
      </w:r>
      <w:r>
        <w:rPr>
          <w:rFonts w:ascii="Open Sans" w:hAnsi="Open Sans"/>
          <w:color w:val="000000"/>
          <w:sz w:val="21"/>
          <w:szCs w:val="21"/>
          <w:lang w:val="en-CA"/>
        </w:rPr>
        <w:t xml:space="preserve">ies will </w:t>
      </w:r>
      <w:r w:rsidRPr="001C784A">
        <w:rPr>
          <w:rFonts w:ascii="Open Sans" w:hAnsi="Open Sans"/>
          <w:b/>
          <w:color w:val="000000"/>
          <w:sz w:val="21"/>
          <w:szCs w:val="21"/>
          <w:lang w:val="en-CA"/>
        </w:rPr>
        <w:t>assess the use of the Voluntary Guidelines for Effective Triangular Cooperation, both from a policy and operational perspective</w:t>
      </w:r>
      <w:r>
        <w:rPr>
          <w:rFonts w:ascii="Open Sans" w:hAnsi="Open Sans"/>
          <w:color w:val="000000"/>
          <w:sz w:val="21"/>
          <w:szCs w:val="21"/>
          <w:lang w:val="en-CA"/>
        </w:rPr>
        <w:t>, and in so doing, will:</w:t>
      </w:r>
    </w:p>
    <w:p w:rsidR="00E71699" w:rsidRPr="001C784A" w:rsidRDefault="0052206A" w:rsidP="001C784A">
      <w:pPr>
        <w:pStyle w:val="NormalWeb"/>
        <w:numPr>
          <w:ilvl w:val="0"/>
          <w:numId w:val="4"/>
        </w:numPr>
        <w:shd w:val="clear" w:color="auto" w:fill="FFFFFF"/>
        <w:spacing w:before="0" w:after="225"/>
        <w:rPr>
          <w:rFonts w:ascii="Open Sans" w:hAnsi="Open Sans"/>
          <w:color w:val="000000"/>
          <w:sz w:val="21"/>
          <w:szCs w:val="21"/>
          <w:lang w:val="en-CA"/>
        </w:rPr>
      </w:pPr>
      <w:r w:rsidRPr="001C784A">
        <w:rPr>
          <w:rFonts w:ascii="Open Sans" w:hAnsi="Open Sans"/>
          <w:color w:val="000000"/>
          <w:sz w:val="21"/>
          <w:szCs w:val="21"/>
          <w:lang w:val="en-CA"/>
        </w:rPr>
        <w:t>Promot</w:t>
      </w:r>
      <w:r w:rsidR="00A75C44">
        <w:rPr>
          <w:rFonts w:ascii="Open Sans" w:hAnsi="Open Sans"/>
          <w:color w:val="000000"/>
          <w:sz w:val="21"/>
          <w:szCs w:val="21"/>
          <w:lang w:val="en-CA"/>
        </w:rPr>
        <w:t>e</w:t>
      </w:r>
      <w:r w:rsidRPr="001C784A">
        <w:rPr>
          <w:rFonts w:ascii="Open Sans" w:hAnsi="Open Sans"/>
          <w:color w:val="000000"/>
          <w:sz w:val="21"/>
          <w:szCs w:val="21"/>
          <w:lang w:val="en-CA"/>
        </w:rPr>
        <w:t xml:space="preserve"> the use of the Voluntary Guidelines</w:t>
      </w:r>
      <w:r w:rsidR="00A75C44">
        <w:rPr>
          <w:rFonts w:ascii="Open Sans" w:hAnsi="Open Sans"/>
          <w:color w:val="000000"/>
          <w:sz w:val="21"/>
          <w:szCs w:val="21"/>
          <w:lang w:val="en-CA"/>
        </w:rPr>
        <w:t>; and</w:t>
      </w:r>
    </w:p>
    <w:p w:rsidR="00E71699" w:rsidRDefault="0052206A" w:rsidP="001C784A">
      <w:pPr>
        <w:pStyle w:val="NormalWeb"/>
        <w:numPr>
          <w:ilvl w:val="0"/>
          <w:numId w:val="4"/>
        </w:numPr>
        <w:shd w:val="clear" w:color="auto" w:fill="FFFFFF"/>
        <w:spacing w:before="0" w:after="225"/>
        <w:rPr>
          <w:rFonts w:ascii="Open Sans" w:hAnsi="Open Sans"/>
          <w:color w:val="000000"/>
          <w:sz w:val="21"/>
          <w:szCs w:val="21"/>
          <w:lang w:val="en-CA"/>
        </w:rPr>
      </w:pPr>
      <w:r w:rsidRPr="001C784A">
        <w:rPr>
          <w:rFonts w:ascii="Open Sans" w:hAnsi="Open Sans"/>
          <w:color w:val="000000"/>
          <w:sz w:val="21"/>
          <w:szCs w:val="21"/>
          <w:lang w:val="en-CA"/>
        </w:rPr>
        <w:t>Generat</w:t>
      </w:r>
      <w:r w:rsidR="00A75C44">
        <w:rPr>
          <w:rFonts w:ascii="Open Sans" w:hAnsi="Open Sans"/>
          <w:color w:val="000000"/>
          <w:sz w:val="21"/>
          <w:szCs w:val="21"/>
          <w:lang w:val="en-CA"/>
        </w:rPr>
        <w:t>e</w:t>
      </w:r>
      <w:r w:rsidRPr="001C784A">
        <w:rPr>
          <w:rFonts w:ascii="Open Sans" w:hAnsi="Open Sans"/>
          <w:color w:val="000000"/>
          <w:sz w:val="21"/>
          <w:szCs w:val="21"/>
          <w:lang w:val="en-CA"/>
        </w:rPr>
        <w:t xml:space="preserve"> evidence on the use of the Voluntary Guidelines and effective triangular development cooperation</w:t>
      </w:r>
      <w:r w:rsidR="00A75C44">
        <w:rPr>
          <w:rFonts w:ascii="Open Sans" w:hAnsi="Open Sans"/>
          <w:color w:val="000000"/>
          <w:sz w:val="21"/>
          <w:szCs w:val="21"/>
          <w:lang w:val="en-CA"/>
        </w:rPr>
        <w:t>.</w:t>
      </w:r>
    </w:p>
    <w:p w:rsidR="00E3225B" w:rsidRDefault="00E3225B" w:rsidP="006B7ABE">
      <w:pPr>
        <w:pStyle w:val="NormalWeb"/>
        <w:shd w:val="clear" w:color="auto" w:fill="FFFFFF"/>
        <w:spacing w:before="0" w:after="225"/>
        <w:ind w:left="360"/>
        <w:rPr>
          <w:rFonts w:ascii="Open Sans" w:hAnsi="Open Sans"/>
          <w:color w:val="000000"/>
          <w:sz w:val="21"/>
          <w:szCs w:val="21"/>
          <w:lang w:val="en-CA"/>
        </w:rPr>
      </w:pPr>
    </w:p>
    <w:p w:rsidR="001C784A" w:rsidRDefault="001C784A" w:rsidP="00E3225B">
      <w:pPr>
        <w:pStyle w:val="Heading2"/>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The Voluntary Guidelines for Effective Triangular Cooperation are:</w:t>
      </w:r>
    </w:p>
    <w:p w:rsid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Country ownership and demand-driven cooperation</w:t>
      </w:r>
    </w:p>
    <w:p w:rsid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lastRenderedPageBreak/>
        <w:t>Shared commitment</w:t>
      </w:r>
    </w:p>
    <w:p w:rsid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Focus on results-oriented approaches and solutions</w:t>
      </w:r>
    </w:p>
    <w:p w:rsid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Inclusive partnerships and multi-stakeholder dialogues</w:t>
      </w:r>
    </w:p>
    <w:p w:rsid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Transparency and mutual accountability</w:t>
      </w:r>
    </w:p>
    <w:p w:rsid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Innovation and co-creation</w:t>
      </w:r>
    </w:p>
    <w:p w:rsid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Joint-learning and knowledge-sharing for sustainable development</w:t>
      </w:r>
    </w:p>
    <w:p w:rsid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Advance gender equality and the empowerment of women and girls</w:t>
      </w:r>
    </w:p>
    <w:p w:rsidR="0060646A" w:rsidRPr="0060646A" w:rsidRDefault="0060646A" w:rsidP="00E3225B">
      <w:pPr>
        <w:pStyle w:val="ListParagraph"/>
        <w:numPr>
          <w:ilvl w:val="0"/>
          <w:numId w:val="5"/>
        </w:numPr>
        <w:pBdr>
          <w:top w:val="single" w:sz="4" w:space="1" w:color="44546A" w:themeColor="text2"/>
          <w:left w:val="single" w:sz="4" w:space="4" w:color="44546A" w:themeColor="text2"/>
          <w:bottom w:val="single" w:sz="4" w:space="1" w:color="44546A" w:themeColor="text2"/>
          <w:right w:val="single" w:sz="4" w:space="4" w:color="44546A" w:themeColor="text2"/>
        </w:pBdr>
        <w:rPr>
          <w:lang w:val="en-CA"/>
        </w:rPr>
      </w:pPr>
      <w:r>
        <w:rPr>
          <w:lang w:val="en-CA"/>
        </w:rPr>
        <w:t>Leaving no one behind</w:t>
      </w:r>
    </w:p>
    <w:p w:rsidR="0060646A" w:rsidRPr="0060646A" w:rsidRDefault="0060646A" w:rsidP="009D7A03">
      <w:pPr>
        <w:rPr>
          <w:rFonts w:asciiTheme="majorHAnsi" w:eastAsiaTheme="majorEastAsia" w:hAnsiTheme="majorHAnsi" w:cstheme="majorBidi"/>
          <w:color w:val="2E74B5" w:themeColor="accent1" w:themeShade="BF"/>
          <w:sz w:val="32"/>
          <w:szCs w:val="32"/>
          <w:lang w:val="en-CA"/>
        </w:rPr>
      </w:pPr>
    </w:p>
    <w:p w:rsidR="00FB013B" w:rsidRPr="0060646A" w:rsidRDefault="0060646A" w:rsidP="00FB013B">
      <w:pPr>
        <w:rPr>
          <w:rFonts w:asciiTheme="majorHAnsi" w:eastAsiaTheme="majorEastAsia" w:hAnsiTheme="majorHAnsi" w:cstheme="majorBidi"/>
          <w:color w:val="2E74B5" w:themeColor="accent1" w:themeShade="BF"/>
          <w:sz w:val="32"/>
          <w:szCs w:val="32"/>
          <w:lang w:val="en-CA"/>
        </w:rPr>
      </w:pPr>
      <w:r>
        <w:rPr>
          <w:rFonts w:asciiTheme="majorHAnsi" w:eastAsiaTheme="majorEastAsia" w:hAnsiTheme="majorHAnsi" w:cstheme="majorBidi"/>
          <w:color w:val="2E74B5" w:themeColor="accent1" w:themeShade="BF"/>
          <w:sz w:val="32"/>
          <w:szCs w:val="32"/>
          <w:lang w:val="en-CA"/>
        </w:rPr>
        <w:t>C</w:t>
      </w:r>
      <w:r w:rsidR="00FB013B" w:rsidRPr="00FB013B">
        <w:rPr>
          <w:rFonts w:asciiTheme="majorHAnsi" w:eastAsiaTheme="majorEastAsia" w:hAnsiTheme="majorHAnsi" w:cstheme="majorBidi"/>
          <w:color w:val="2E74B5" w:themeColor="accent1" w:themeShade="BF"/>
          <w:sz w:val="32"/>
          <w:szCs w:val="32"/>
          <w:lang w:val="en-CA"/>
        </w:rPr>
        <w:t>ountry case</w:t>
      </w:r>
      <w:r>
        <w:rPr>
          <w:rFonts w:asciiTheme="majorHAnsi" w:eastAsiaTheme="majorEastAsia" w:hAnsiTheme="majorHAnsi" w:cstheme="majorBidi"/>
          <w:color w:val="2E74B5" w:themeColor="accent1" w:themeShade="BF"/>
          <w:sz w:val="32"/>
          <w:szCs w:val="32"/>
          <w:lang w:val="en-CA"/>
        </w:rPr>
        <w:t xml:space="preserve"> studies</w:t>
      </w:r>
      <w:r w:rsidR="00FB013B" w:rsidRPr="00FB013B">
        <w:rPr>
          <w:rFonts w:asciiTheme="majorHAnsi" w:eastAsiaTheme="majorEastAsia" w:hAnsiTheme="majorHAnsi" w:cstheme="majorBidi"/>
          <w:color w:val="2E74B5" w:themeColor="accent1" w:themeShade="BF"/>
          <w:sz w:val="32"/>
          <w:szCs w:val="32"/>
          <w:lang w:val="en-CA"/>
        </w:rPr>
        <w:t xml:space="preserve"> – Partners with experience of the beneficiary role</w:t>
      </w:r>
    </w:p>
    <w:p w:rsidR="00FB013B" w:rsidRDefault="0060646A" w:rsidP="00FB013B">
      <w:pPr>
        <w:rPr>
          <w:rFonts w:ascii="Open Sans" w:hAnsi="Open Sans"/>
          <w:color w:val="000000"/>
          <w:sz w:val="21"/>
          <w:szCs w:val="21"/>
          <w:lang w:val="en-CA"/>
        </w:rPr>
      </w:pPr>
      <w:r>
        <w:rPr>
          <w:rFonts w:ascii="Open Sans" w:hAnsi="Open Sans"/>
          <w:color w:val="000000"/>
          <w:sz w:val="21"/>
          <w:szCs w:val="21"/>
          <w:lang w:val="en-CA"/>
        </w:rPr>
        <w:t>To pilot the voluntary guidelines through country case studies</w:t>
      </w:r>
      <w:r w:rsidRPr="0060646A">
        <w:rPr>
          <w:rFonts w:ascii="Open Sans" w:hAnsi="Open Sans"/>
          <w:color w:val="000000"/>
          <w:sz w:val="21"/>
          <w:szCs w:val="21"/>
          <w:lang w:val="en-CA"/>
        </w:rPr>
        <w:t>, Action Area 2.2 is looking to partner with countries where there is experience of engaging in triangular cooperation projects as the beneficiary.</w:t>
      </w:r>
    </w:p>
    <w:p w:rsidR="0060646A" w:rsidRDefault="0060646A" w:rsidP="00FB013B">
      <w:pPr>
        <w:rPr>
          <w:rFonts w:ascii="Open Sans" w:hAnsi="Open Sans"/>
          <w:color w:val="000000"/>
          <w:sz w:val="21"/>
          <w:szCs w:val="21"/>
          <w:lang w:val="en-CA"/>
        </w:rPr>
      </w:pPr>
    </w:p>
    <w:p w:rsidR="0060646A" w:rsidRPr="001053EE" w:rsidRDefault="0060646A" w:rsidP="0060646A">
      <w:pPr>
        <w:pStyle w:val="Heading2"/>
        <w:rPr>
          <w:sz w:val="32"/>
          <w:szCs w:val="32"/>
          <w:lang w:val="en-CA"/>
        </w:rPr>
      </w:pPr>
      <w:r w:rsidRPr="001053EE">
        <w:rPr>
          <w:sz w:val="32"/>
          <w:szCs w:val="32"/>
          <w:lang w:val="en-CA"/>
        </w:rPr>
        <w:t>Criteria</w:t>
      </w:r>
    </w:p>
    <w:p w:rsidR="0060646A" w:rsidRDefault="0060646A" w:rsidP="0060646A">
      <w:pPr>
        <w:rPr>
          <w:rFonts w:ascii="Open Sans" w:hAnsi="Open Sans"/>
          <w:color w:val="000000"/>
          <w:sz w:val="21"/>
          <w:szCs w:val="21"/>
          <w:lang w:val="en-CA"/>
        </w:rPr>
      </w:pPr>
      <w:r w:rsidRPr="0060646A">
        <w:rPr>
          <w:rFonts w:ascii="Open Sans" w:hAnsi="Open Sans"/>
          <w:color w:val="000000"/>
          <w:sz w:val="21"/>
          <w:szCs w:val="21"/>
          <w:lang w:val="en-CA"/>
        </w:rPr>
        <w:t xml:space="preserve">The intention is to work with </w:t>
      </w:r>
      <w:r w:rsidR="00A75C44">
        <w:rPr>
          <w:rFonts w:ascii="Open Sans" w:hAnsi="Open Sans"/>
          <w:color w:val="000000"/>
          <w:sz w:val="21"/>
          <w:szCs w:val="21"/>
          <w:lang w:val="en-CA"/>
        </w:rPr>
        <w:t xml:space="preserve">a minimum of </w:t>
      </w:r>
      <w:r w:rsidRPr="0060646A">
        <w:rPr>
          <w:rFonts w:ascii="Open Sans" w:hAnsi="Open Sans"/>
          <w:color w:val="000000"/>
          <w:sz w:val="21"/>
          <w:szCs w:val="21"/>
          <w:lang w:val="en-CA"/>
        </w:rPr>
        <w:t xml:space="preserve">three different beneficiary countries </w:t>
      </w:r>
      <w:r w:rsidR="00A75C44">
        <w:rPr>
          <w:rFonts w:ascii="Open Sans" w:hAnsi="Open Sans"/>
          <w:color w:val="000000"/>
          <w:sz w:val="21"/>
          <w:szCs w:val="21"/>
          <w:lang w:val="en-CA"/>
        </w:rPr>
        <w:t xml:space="preserve">from </w:t>
      </w:r>
      <w:r w:rsidR="00A75C44" w:rsidRPr="0060646A">
        <w:rPr>
          <w:rFonts w:ascii="Open Sans" w:hAnsi="Open Sans"/>
          <w:color w:val="000000"/>
          <w:sz w:val="21"/>
          <w:szCs w:val="21"/>
          <w:lang w:val="en-CA"/>
        </w:rPr>
        <w:t>different regions</w:t>
      </w:r>
      <w:r w:rsidR="00A75C44">
        <w:rPr>
          <w:rFonts w:ascii="Open Sans" w:hAnsi="Open Sans"/>
          <w:color w:val="000000"/>
          <w:sz w:val="21"/>
          <w:szCs w:val="21"/>
          <w:lang w:val="en-CA"/>
        </w:rPr>
        <w:t>,</w:t>
      </w:r>
      <w:r w:rsidR="00A75C44" w:rsidRPr="0060646A">
        <w:rPr>
          <w:rFonts w:ascii="Open Sans" w:hAnsi="Open Sans"/>
          <w:color w:val="000000"/>
          <w:sz w:val="21"/>
          <w:szCs w:val="21"/>
          <w:lang w:val="en-CA"/>
        </w:rPr>
        <w:t xml:space="preserve"> </w:t>
      </w:r>
      <w:r w:rsidRPr="0060646A">
        <w:rPr>
          <w:rFonts w:ascii="Open Sans" w:hAnsi="Open Sans"/>
          <w:color w:val="000000"/>
          <w:sz w:val="21"/>
          <w:szCs w:val="21"/>
          <w:lang w:val="en-CA"/>
        </w:rPr>
        <w:t xml:space="preserve">and their pivotal and facilitator partners. </w:t>
      </w:r>
      <w:r w:rsidRPr="0060646A">
        <w:rPr>
          <w:rFonts w:ascii="Open Sans" w:hAnsi="Open Sans"/>
          <w:b/>
          <w:color w:val="000000"/>
          <w:sz w:val="21"/>
          <w:szCs w:val="21"/>
          <w:lang w:val="en-CA"/>
        </w:rPr>
        <w:t>The study will revolve around these beneficiary countries</w:t>
      </w:r>
      <w:r w:rsidRPr="0060646A">
        <w:rPr>
          <w:rFonts w:ascii="Open Sans" w:hAnsi="Open Sans"/>
          <w:color w:val="000000"/>
          <w:sz w:val="21"/>
          <w:szCs w:val="21"/>
          <w:lang w:val="en-CA"/>
        </w:rPr>
        <w:t xml:space="preserve"> </w:t>
      </w:r>
      <w:r w:rsidR="00A75C44">
        <w:rPr>
          <w:rFonts w:ascii="Open Sans" w:hAnsi="Open Sans"/>
          <w:color w:val="000000"/>
          <w:sz w:val="21"/>
          <w:szCs w:val="21"/>
          <w:lang w:val="en-CA"/>
        </w:rPr>
        <w:t>and</w:t>
      </w:r>
      <w:r w:rsidRPr="0060646A">
        <w:rPr>
          <w:rFonts w:ascii="Open Sans" w:hAnsi="Open Sans"/>
          <w:color w:val="000000"/>
          <w:sz w:val="21"/>
          <w:szCs w:val="21"/>
          <w:lang w:val="en-CA"/>
        </w:rPr>
        <w:t xml:space="preserve"> we will look at a few projects</w:t>
      </w:r>
      <w:r w:rsidR="00A75C44">
        <w:rPr>
          <w:rFonts w:ascii="Open Sans" w:hAnsi="Open Sans"/>
          <w:color w:val="000000"/>
          <w:sz w:val="21"/>
          <w:szCs w:val="21"/>
          <w:lang w:val="en-CA"/>
        </w:rPr>
        <w:t xml:space="preserve"> in each country</w:t>
      </w:r>
      <w:r w:rsidRPr="0060646A">
        <w:rPr>
          <w:rFonts w:ascii="Open Sans" w:hAnsi="Open Sans"/>
          <w:color w:val="000000"/>
          <w:sz w:val="21"/>
          <w:szCs w:val="21"/>
          <w:lang w:val="en-CA"/>
        </w:rPr>
        <w:t xml:space="preserve">. Although the focus of this study is on the beneficiary role, the full ecosystem of partners will be assessed. To note, the selected beneficiary countries </w:t>
      </w:r>
      <w:r w:rsidR="00A75C44">
        <w:rPr>
          <w:rFonts w:ascii="Open Sans" w:hAnsi="Open Sans"/>
          <w:color w:val="000000"/>
          <w:sz w:val="21"/>
          <w:szCs w:val="21"/>
          <w:lang w:val="en-CA"/>
        </w:rPr>
        <w:t xml:space="preserve">could have </w:t>
      </w:r>
      <w:r w:rsidRPr="0060646A">
        <w:rPr>
          <w:rFonts w:ascii="Open Sans" w:hAnsi="Open Sans"/>
          <w:color w:val="000000"/>
          <w:sz w:val="21"/>
          <w:szCs w:val="21"/>
          <w:lang w:val="en-CA"/>
        </w:rPr>
        <w:t>a diverse portfolio of projects and play different roles (facilitator, pivotal, beneficiary) across that portfolio. Th</w:t>
      </w:r>
      <w:r w:rsidR="00A75C44">
        <w:rPr>
          <w:rFonts w:ascii="Open Sans" w:hAnsi="Open Sans"/>
          <w:color w:val="000000"/>
          <w:sz w:val="21"/>
          <w:szCs w:val="21"/>
          <w:lang w:val="en-CA"/>
        </w:rPr>
        <w:t>e</w:t>
      </w:r>
      <w:r w:rsidRPr="0060646A">
        <w:rPr>
          <w:rFonts w:ascii="Open Sans" w:hAnsi="Open Sans"/>
          <w:color w:val="000000"/>
          <w:sz w:val="21"/>
          <w:szCs w:val="21"/>
          <w:lang w:val="en-CA"/>
        </w:rPr>
        <w:t xml:space="preserve"> study will</w:t>
      </w:r>
      <w:r w:rsidR="00A75C44">
        <w:rPr>
          <w:rFonts w:ascii="Open Sans" w:hAnsi="Open Sans"/>
          <w:color w:val="000000"/>
          <w:sz w:val="21"/>
          <w:szCs w:val="21"/>
          <w:lang w:val="en-CA"/>
        </w:rPr>
        <w:t>,</w:t>
      </w:r>
      <w:r w:rsidRPr="0060646A">
        <w:rPr>
          <w:rFonts w:ascii="Open Sans" w:hAnsi="Open Sans"/>
          <w:color w:val="000000"/>
          <w:sz w:val="21"/>
          <w:szCs w:val="21"/>
          <w:lang w:val="en-CA"/>
        </w:rPr>
        <w:t xml:space="preserve"> however</w:t>
      </w:r>
      <w:r w:rsidR="00A75C44">
        <w:rPr>
          <w:rFonts w:ascii="Open Sans" w:hAnsi="Open Sans"/>
          <w:color w:val="000000"/>
          <w:sz w:val="21"/>
          <w:szCs w:val="21"/>
          <w:lang w:val="en-CA"/>
        </w:rPr>
        <w:t>,</w:t>
      </w:r>
      <w:r w:rsidRPr="0060646A">
        <w:rPr>
          <w:rFonts w:ascii="Open Sans" w:hAnsi="Open Sans"/>
          <w:color w:val="000000"/>
          <w:sz w:val="21"/>
          <w:szCs w:val="21"/>
          <w:lang w:val="en-CA"/>
        </w:rPr>
        <w:t xml:space="preserve"> focus primarily on their beneficiary experience.</w:t>
      </w:r>
    </w:p>
    <w:p w:rsidR="0060646A" w:rsidRDefault="0060646A" w:rsidP="0060646A">
      <w:pPr>
        <w:rPr>
          <w:rFonts w:ascii="Open Sans" w:hAnsi="Open Sans"/>
          <w:color w:val="000000"/>
          <w:sz w:val="21"/>
          <w:szCs w:val="21"/>
          <w:lang w:val="en-CA"/>
        </w:rPr>
      </w:pPr>
    </w:p>
    <w:p w:rsidR="0060646A" w:rsidRPr="001053EE" w:rsidRDefault="0060646A" w:rsidP="0060646A">
      <w:pPr>
        <w:pStyle w:val="Heading2"/>
        <w:rPr>
          <w:sz w:val="32"/>
          <w:szCs w:val="32"/>
          <w:lang w:val="en-CA"/>
        </w:rPr>
      </w:pPr>
      <w:r w:rsidRPr="001053EE">
        <w:rPr>
          <w:sz w:val="32"/>
          <w:szCs w:val="32"/>
          <w:lang w:val="en-CA"/>
        </w:rPr>
        <w:t>Beneficiary Partner countries will:</w:t>
      </w:r>
    </w:p>
    <w:p w:rsidR="0060646A" w:rsidRDefault="0060646A" w:rsidP="0060646A">
      <w:pPr>
        <w:pStyle w:val="ListParagraph"/>
        <w:numPr>
          <w:ilvl w:val="0"/>
          <w:numId w:val="6"/>
        </w:numPr>
        <w:rPr>
          <w:rFonts w:ascii="Open Sans" w:hAnsi="Open Sans"/>
          <w:color w:val="000000"/>
          <w:sz w:val="21"/>
          <w:szCs w:val="21"/>
          <w:lang w:val="en-CA"/>
        </w:rPr>
      </w:pPr>
      <w:r w:rsidRPr="0060646A">
        <w:rPr>
          <w:rFonts w:ascii="Open Sans" w:hAnsi="Open Sans"/>
          <w:color w:val="000000"/>
          <w:sz w:val="21"/>
          <w:szCs w:val="21"/>
          <w:lang w:val="en-CA"/>
        </w:rPr>
        <w:t xml:space="preserve">Get support from the AA and </w:t>
      </w:r>
      <w:r w:rsidR="00C4510C">
        <w:rPr>
          <w:rFonts w:ascii="Open Sans" w:hAnsi="Open Sans"/>
          <w:color w:val="000000"/>
          <w:sz w:val="21"/>
          <w:szCs w:val="21"/>
          <w:lang w:val="en-CA"/>
        </w:rPr>
        <w:t xml:space="preserve">other </w:t>
      </w:r>
      <w:r w:rsidRPr="0060646A">
        <w:rPr>
          <w:rFonts w:ascii="Open Sans" w:hAnsi="Open Sans"/>
          <w:color w:val="000000"/>
          <w:sz w:val="21"/>
          <w:szCs w:val="21"/>
          <w:lang w:val="en-CA"/>
        </w:rPr>
        <w:t>experts to develop their framework for assessing TrC;</w:t>
      </w:r>
    </w:p>
    <w:p w:rsidR="0060646A" w:rsidRDefault="0060646A" w:rsidP="0060646A">
      <w:pPr>
        <w:pStyle w:val="ListParagraph"/>
        <w:numPr>
          <w:ilvl w:val="0"/>
          <w:numId w:val="6"/>
        </w:numPr>
        <w:rPr>
          <w:rFonts w:ascii="Open Sans" w:hAnsi="Open Sans"/>
          <w:color w:val="000000"/>
          <w:sz w:val="21"/>
          <w:szCs w:val="21"/>
          <w:lang w:val="en-CA"/>
        </w:rPr>
      </w:pPr>
      <w:r w:rsidRPr="0060646A">
        <w:rPr>
          <w:rFonts w:ascii="Open Sans" w:hAnsi="Open Sans"/>
          <w:color w:val="000000"/>
          <w:sz w:val="21"/>
          <w:szCs w:val="21"/>
          <w:lang w:val="en-CA"/>
        </w:rPr>
        <w:t>Share their own experience and learn from partners’ experiences in programming and implementing TrC;</w:t>
      </w:r>
    </w:p>
    <w:p w:rsidR="0060646A" w:rsidRDefault="0060646A" w:rsidP="0060646A">
      <w:pPr>
        <w:pStyle w:val="ListParagraph"/>
        <w:numPr>
          <w:ilvl w:val="0"/>
          <w:numId w:val="6"/>
        </w:numPr>
        <w:rPr>
          <w:rFonts w:ascii="Open Sans" w:hAnsi="Open Sans"/>
          <w:color w:val="000000"/>
          <w:sz w:val="21"/>
          <w:szCs w:val="21"/>
          <w:lang w:val="en-CA"/>
        </w:rPr>
      </w:pPr>
      <w:r w:rsidRPr="0060646A">
        <w:rPr>
          <w:rFonts w:ascii="Open Sans" w:hAnsi="Open Sans"/>
          <w:color w:val="000000"/>
          <w:sz w:val="21"/>
          <w:szCs w:val="21"/>
          <w:lang w:val="en-CA"/>
        </w:rPr>
        <w:t>Have the opportunity to showcase and share experiences with the GPEDC’s and GPI’s broader audience;</w:t>
      </w:r>
    </w:p>
    <w:p w:rsidR="0060646A" w:rsidRDefault="0060646A" w:rsidP="0060646A">
      <w:pPr>
        <w:pStyle w:val="ListParagraph"/>
        <w:numPr>
          <w:ilvl w:val="0"/>
          <w:numId w:val="6"/>
        </w:numPr>
        <w:rPr>
          <w:rFonts w:ascii="Open Sans" w:hAnsi="Open Sans"/>
          <w:color w:val="000000"/>
          <w:sz w:val="21"/>
          <w:szCs w:val="21"/>
          <w:lang w:val="en-CA"/>
        </w:rPr>
      </w:pPr>
      <w:r w:rsidRPr="0060646A">
        <w:rPr>
          <w:rFonts w:ascii="Open Sans" w:hAnsi="Open Sans"/>
          <w:color w:val="000000"/>
          <w:sz w:val="21"/>
          <w:szCs w:val="21"/>
          <w:lang w:val="en-CA"/>
        </w:rPr>
        <w:t>Have the opportunity to expand their networ</w:t>
      </w:r>
      <w:r>
        <w:rPr>
          <w:rFonts w:ascii="Open Sans" w:hAnsi="Open Sans"/>
          <w:color w:val="000000"/>
          <w:sz w:val="21"/>
          <w:szCs w:val="21"/>
          <w:lang w:val="en-CA"/>
        </w:rPr>
        <w:t>k and connect with new partners, and;</w:t>
      </w:r>
    </w:p>
    <w:p w:rsidR="0060646A" w:rsidRDefault="0060646A" w:rsidP="0060646A">
      <w:pPr>
        <w:pStyle w:val="ListParagraph"/>
        <w:numPr>
          <w:ilvl w:val="0"/>
          <w:numId w:val="6"/>
        </w:numPr>
        <w:rPr>
          <w:rFonts w:ascii="Open Sans" w:hAnsi="Open Sans"/>
          <w:color w:val="000000"/>
          <w:sz w:val="21"/>
          <w:szCs w:val="21"/>
          <w:lang w:val="en-CA"/>
        </w:rPr>
      </w:pPr>
      <w:r w:rsidRPr="0060646A">
        <w:rPr>
          <w:rFonts w:ascii="Open Sans" w:hAnsi="Open Sans"/>
          <w:color w:val="000000"/>
          <w:sz w:val="21"/>
          <w:szCs w:val="21"/>
          <w:lang w:val="en-CA"/>
        </w:rPr>
        <w:t>Contribute to the implementation of the commitments with the Agenda 2030 and the BAPA+40.</w:t>
      </w:r>
    </w:p>
    <w:p w:rsidR="00E3225B" w:rsidRDefault="00E3225B" w:rsidP="00E3225B">
      <w:pPr>
        <w:rPr>
          <w:rFonts w:ascii="Open Sans" w:hAnsi="Open Sans"/>
          <w:color w:val="000000"/>
          <w:sz w:val="21"/>
          <w:szCs w:val="21"/>
          <w:lang w:val="en-CA"/>
        </w:rPr>
      </w:pPr>
    </w:p>
    <w:p w:rsidR="00E3225B" w:rsidRDefault="00E3225B" w:rsidP="00E3225B">
      <w:pPr>
        <w:rPr>
          <w:rFonts w:asciiTheme="majorHAnsi" w:eastAsiaTheme="majorEastAsia" w:hAnsiTheme="majorHAnsi" w:cstheme="majorBidi"/>
          <w:color w:val="2E74B5" w:themeColor="accent1" w:themeShade="BF"/>
          <w:sz w:val="32"/>
          <w:szCs w:val="32"/>
          <w:lang w:val="en-CA"/>
        </w:rPr>
      </w:pPr>
      <w:r w:rsidRPr="00E3225B">
        <w:rPr>
          <w:rFonts w:asciiTheme="majorHAnsi" w:eastAsiaTheme="majorEastAsia" w:hAnsiTheme="majorHAnsi" w:cstheme="majorBidi"/>
          <w:color w:val="2E74B5" w:themeColor="accent1" w:themeShade="BF"/>
          <w:sz w:val="32"/>
          <w:szCs w:val="32"/>
          <w:lang w:val="en-CA"/>
        </w:rPr>
        <w:lastRenderedPageBreak/>
        <w:t>The Work Plan</w:t>
      </w:r>
    </w:p>
    <w:p w:rsidR="00E3225B" w:rsidRDefault="00E3225B" w:rsidP="00E3225B">
      <w:pPr>
        <w:rPr>
          <w:rFonts w:ascii="Open Sans" w:hAnsi="Open Sans"/>
          <w:color w:val="000000"/>
          <w:sz w:val="21"/>
          <w:szCs w:val="21"/>
          <w:lang w:val="en-CA"/>
        </w:rPr>
      </w:pPr>
      <w:r>
        <w:rPr>
          <w:rFonts w:ascii="Open Sans" w:hAnsi="Open Sans"/>
          <w:color w:val="000000"/>
          <w:sz w:val="21"/>
          <w:szCs w:val="21"/>
          <w:lang w:val="en-CA"/>
        </w:rPr>
        <w:t xml:space="preserve">With the High Level Meeting in 2022 in mind, the </w:t>
      </w:r>
      <w:proofErr w:type="spellStart"/>
      <w:r w:rsidR="00C4510C">
        <w:rPr>
          <w:rFonts w:ascii="Open Sans" w:hAnsi="Open Sans"/>
          <w:color w:val="000000"/>
          <w:sz w:val="21"/>
          <w:szCs w:val="21"/>
          <w:lang w:val="en-CA"/>
        </w:rPr>
        <w:t>TrC</w:t>
      </w:r>
      <w:proofErr w:type="spellEnd"/>
      <w:r w:rsidR="00C4510C">
        <w:rPr>
          <w:rFonts w:ascii="Open Sans" w:hAnsi="Open Sans"/>
          <w:color w:val="000000"/>
          <w:sz w:val="21"/>
          <w:szCs w:val="21"/>
          <w:lang w:val="en-CA"/>
        </w:rPr>
        <w:t xml:space="preserve"> </w:t>
      </w:r>
      <w:r>
        <w:rPr>
          <w:rFonts w:ascii="Open Sans" w:hAnsi="Open Sans"/>
          <w:color w:val="000000"/>
          <w:sz w:val="21"/>
          <w:szCs w:val="21"/>
          <w:lang w:val="en-CA"/>
        </w:rPr>
        <w:t>Action Area is aiming to complete this work by the end of September 2021.</w:t>
      </w:r>
      <w:r w:rsidR="0052206A">
        <w:rPr>
          <w:rFonts w:ascii="Open Sans" w:hAnsi="Open Sans"/>
          <w:color w:val="000000"/>
          <w:sz w:val="21"/>
          <w:szCs w:val="21"/>
          <w:lang w:val="en-CA"/>
        </w:rPr>
        <w:t xml:space="preserve"> Canada and members of the Action Area have been working with the BRICS Policy Center to elaborate the following plan. The partner countries’ engagement in the process is highlighted in red. </w:t>
      </w:r>
    </w:p>
    <w:p w:rsidR="00E3225B" w:rsidRDefault="00E3225B" w:rsidP="00E3225B">
      <w:pPr>
        <w:rPr>
          <w:rFonts w:asciiTheme="majorHAnsi" w:eastAsiaTheme="majorEastAsia" w:hAnsiTheme="majorHAnsi" w:cstheme="majorBidi"/>
          <w:color w:val="2E74B5" w:themeColor="accent1" w:themeShade="BF"/>
          <w:sz w:val="26"/>
          <w:szCs w:val="26"/>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593"/>
        <w:gridCol w:w="171"/>
        <w:gridCol w:w="7395"/>
      </w:tblGrid>
      <w:tr w:rsidR="00E3225B" w:rsidTr="00901A5A">
        <w:trPr>
          <w:trHeight w:val="397"/>
        </w:trPr>
        <w:tc>
          <w:tcPr>
            <w:tcW w:w="0" w:type="auto"/>
            <w:shd w:val="clear" w:color="auto" w:fill="ED7D31"/>
            <w:vAlign w:val="center"/>
          </w:tcPr>
          <w:p w:rsidR="00E3225B" w:rsidRPr="0075281A" w:rsidRDefault="00E3225B" w:rsidP="00901A5A">
            <w:pPr>
              <w:spacing w:line="220" w:lineRule="atLeast"/>
              <w:rPr>
                <w:color w:val="000000"/>
                <w:lang w:val="en-US"/>
              </w:rPr>
            </w:pPr>
            <w:r w:rsidRPr="0075281A">
              <w:rPr>
                <w:rFonts w:eastAsia="Times New Roman"/>
                <w:color w:val="FFFFFF" w:themeColor="background1"/>
                <w:lang w:val="en-US"/>
              </w:rPr>
              <w:t>February – Mid March</w:t>
            </w:r>
          </w:p>
        </w:tc>
        <w:tc>
          <w:tcPr>
            <w:tcW w:w="0" w:type="auto"/>
            <w:tcBorders>
              <w:right w:val="single" w:sz="4" w:space="0" w:color="ED7D31"/>
            </w:tcBorders>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ED7D31"/>
              <w:left w:val="single" w:sz="4" w:space="0" w:color="ED7D31"/>
              <w:bottom w:val="single" w:sz="4" w:space="0" w:color="ED7D31"/>
              <w:right w:val="single" w:sz="4" w:space="0" w:color="ED7D31"/>
            </w:tcBorders>
            <w:vAlign w:val="center"/>
          </w:tcPr>
          <w:p w:rsidR="00E3225B" w:rsidRPr="0075281A" w:rsidRDefault="00E3225B" w:rsidP="00E3225B">
            <w:pPr>
              <w:numPr>
                <w:ilvl w:val="0"/>
                <w:numId w:val="7"/>
              </w:numPr>
              <w:tabs>
                <w:tab w:val="num" w:pos="720"/>
              </w:tabs>
              <w:spacing w:line="220" w:lineRule="atLeast"/>
              <w:rPr>
                <w:color w:val="000000"/>
                <w:szCs w:val="22"/>
                <w:lang w:val="en-CA"/>
              </w:rPr>
            </w:pPr>
            <w:r w:rsidRPr="0075281A">
              <w:rPr>
                <w:rFonts w:eastAsia="Times New Roman"/>
                <w:color w:val="000000"/>
                <w:szCs w:val="22"/>
                <w:lang w:val="en-US"/>
              </w:rPr>
              <w:t>Refine the plan with Action Area member inputs - in consultation with the Joint Support Team and GPI</w:t>
            </w:r>
          </w:p>
          <w:p w:rsidR="00E3225B" w:rsidRPr="0075281A" w:rsidRDefault="00E3225B" w:rsidP="00E3225B">
            <w:pPr>
              <w:numPr>
                <w:ilvl w:val="0"/>
                <w:numId w:val="7"/>
              </w:numPr>
              <w:tabs>
                <w:tab w:val="num" w:pos="720"/>
              </w:tabs>
              <w:spacing w:line="220" w:lineRule="atLeast"/>
              <w:rPr>
                <w:color w:val="000000"/>
                <w:szCs w:val="22"/>
                <w:lang w:val="en-CA"/>
              </w:rPr>
            </w:pPr>
            <w:r w:rsidRPr="00151A84">
              <w:rPr>
                <w:rFonts w:eastAsia="Times New Roman"/>
                <w:color w:val="000000"/>
                <w:szCs w:val="22"/>
                <w:lang w:val="en-US"/>
              </w:rPr>
              <w:t>Present and formalize the plan in Action Area meeting (March 15</w:t>
            </w:r>
            <w:r w:rsidRPr="00151A84">
              <w:rPr>
                <w:rFonts w:eastAsia="Times New Roman"/>
                <w:color w:val="000000"/>
                <w:szCs w:val="22"/>
                <w:vertAlign w:val="superscript"/>
                <w:lang w:val="en-US"/>
              </w:rPr>
              <w:t>th</w:t>
            </w:r>
            <w:r w:rsidRPr="00151A84">
              <w:rPr>
                <w:rFonts w:eastAsia="Times New Roman"/>
                <w:color w:val="000000"/>
                <w:szCs w:val="22"/>
                <w:lang w:val="en-US"/>
              </w:rPr>
              <w:t>)</w:t>
            </w:r>
          </w:p>
        </w:tc>
      </w:tr>
      <w:tr w:rsidR="00E3225B" w:rsidTr="00901A5A">
        <w:trPr>
          <w:trHeight w:val="397"/>
        </w:trPr>
        <w:tc>
          <w:tcPr>
            <w:tcW w:w="0" w:type="auto"/>
            <w:shd w:val="clear" w:color="auto" w:fill="auto"/>
            <w:vAlign w:val="center"/>
          </w:tcPr>
          <w:p w:rsidR="00E3225B" w:rsidRPr="0075281A" w:rsidRDefault="00E3225B" w:rsidP="00901A5A">
            <w:pPr>
              <w:tabs>
                <w:tab w:val="num" w:pos="720"/>
              </w:tabs>
              <w:spacing w:line="220" w:lineRule="atLeast"/>
              <w:rPr>
                <w:color w:val="FFFFFF" w:themeColor="background1"/>
                <w:lang w:val="en-US"/>
              </w:rPr>
            </w:pPr>
          </w:p>
        </w:tc>
        <w:tc>
          <w:tcPr>
            <w:tcW w:w="0" w:type="auto"/>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ED7D31"/>
              <w:bottom w:val="single" w:sz="4" w:space="0" w:color="C48170"/>
            </w:tcBorders>
            <w:vAlign w:val="center"/>
          </w:tcPr>
          <w:p w:rsidR="00E3225B" w:rsidRPr="0075281A" w:rsidRDefault="00E3225B" w:rsidP="00901A5A">
            <w:pPr>
              <w:tabs>
                <w:tab w:val="num" w:pos="720"/>
              </w:tabs>
              <w:spacing w:line="220" w:lineRule="atLeast"/>
              <w:ind w:left="360"/>
              <w:rPr>
                <w:color w:val="000000"/>
                <w:szCs w:val="22"/>
                <w:lang w:val="en-US"/>
              </w:rPr>
            </w:pPr>
          </w:p>
        </w:tc>
      </w:tr>
      <w:tr w:rsidR="00E3225B" w:rsidTr="00901A5A">
        <w:trPr>
          <w:trHeight w:val="397"/>
        </w:trPr>
        <w:tc>
          <w:tcPr>
            <w:tcW w:w="0" w:type="auto"/>
            <w:shd w:val="clear" w:color="auto" w:fill="C48170"/>
            <w:vAlign w:val="center"/>
          </w:tcPr>
          <w:p w:rsidR="00E3225B" w:rsidRPr="0075281A" w:rsidRDefault="00E3225B" w:rsidP="00901A5A">
            <w:pPr>
              <w:tabs>
                <w:tab w:val="num" w:pos="720"/>
              </w:tabs>
              <w:spacing w:line="220" w:lineRule="atLeast"/>
              <w:rPr>
                <w:color w:val="000000"/>
                <w:lang w:val="en-US"/>
              </w:rPr>
            </w:pPr>
            <w:r w:rsidRPr="0075281A">
              <w:rPr>
                <w:color w:val="FFFFFF" w:themeColor="background1"/>
                <w:lang w:val="en-US"/>
              </w:rPr>
              <w:t>Mid-March</w:t>
            </w:r>
            <w:r w:rsidRPr="0075281A">
              <w:rPr>
                <w:rFonts w:eastAsia="Times New Roman"/>
                <w:color w:val="FFFFFF" w:themeColor="background1"/>
                <w:lang w:val="en-US"/>
              </w:rPr>
              <w:t xml:space="preserve"> – End of April</w:t>
            </w:r>
          </w:p>
        </w:tc>
        <w:tc>
          <w:tcPr>
            <w:tcW w:w="0" w:type="auto"/>
            <w:tcBorders>
              <w:right w:val="single" w:sz="4" w:space="0" w:color="C48170"/>
            </w:tcBorders>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C48170"/>
              <w:left w:val="single" w:sz="4" w:space="0" w:color="C48170"/>
              <w:bottom w:val="single" w:sz="4" w:space="0" w:color="C48170"/>
              <w:right w:val="single" w:sz="4" w:space="0" w:color="C48170"/>
            </w:tcBorders>
            <w:vAlign w:val="center"/>
          </w:tcPr>
          <w:p w:rsidR="00E3225B" w:rsidRPr="0075281A" w:rsidRDefault="00E3225B" w:rsidP="00E3225B">
            <w:pPr>
              <w:numPr>
                <w:ilvl w:val="0"/>
                <w:numId w:val="8"/>
              </w:numPr>
              <w:tabs>
                <w:tab w:val="num" w:pos="720"/>
              </w:tabs>
              <w:spacing w:line="220" w:lineRule="atLeast"/>
              <w:rPr>
                <w:color w:val="000000"/>
                <w:szCs w:val="22"/>
                <w:lang w:val="en-CA"/>
              </w:rPr>
            </w:pPr>
            <w:r w:rsidRPr="0075281A">
              <w:rPr>
                <w:rFonts w:eastAsia="Times New Roman"/>
                <w:color w:val="000000"/>
                <w:szCs w:val="22"/>
                <w:lang w:val="en-US"/>
              </w:rPr>
              <w:t>Develop methodology and indicators, including research questions, guiding framework, and analysis;</w:t>
            </w:r>
            <w:r w:rsidRPr="0075281A">
              <w:rPr>
                <w:color w:val="000000"/>
                <w:szCs w:val="22"/>
                <w:lang w:val="en-US"/>
              </w:rPr>
              <w:t xml:space="preserve"> </w:t>
            </w:r>
            <w:r w:rsidRPr="0075281A">
              <w:rPr>
                <w:rFonts w:eastAsia="Times New Roman"/>
                <w:color w:val="000000"/>
                <w:szCs w:val="22"/>
                <w:lang w:val="en-US"/>
              </w:rPr>
              <w:t>Background research and assessment of the “ecosystem’’, i.e. review project lists and relevant documents of the GPI, UNDP, etc.</w:t>
            </w:r>
          </w:p>
          <w:p w:rsidR="00E3225B" w:rsidRPr="0075281A" w:rsidRDefault="00E3225B" w:rsidP="00E3225B">
            <w:pPr>
              <w:numPr>
                <w:ilvl w:val="0"/>
                <w:numId w:val="8"/>
              </w:numPr>
              <w:tabs>
                <w:tab w:val="num" w:pos="720"/>
              </w:tabs>
              <w:spacing w:line="220" w:lineRule="atLeast"/>
              <w:rPr>
                <w:color w:val="000000"/>
                <w:szCs w:val="22"/>
                <w:lang w:val="en-CA"/>
              </w:rPr>
            </w:pPr>
            <w:r w:rsidRPr="0075281A">
              <w:rPr>
                <w:rFonts w:eastAsia="Times New Roman"/>
                <w:color w:val="000000"/>
                <w:szCs w:val="22"/>
                <w:lang w:val="en-US"/>
              </w:rPr>
              <w:t>Identify pilot countries for the case studies;</w:t>
            </w:r>
          </w:p>
          <w:p w:rsidR="00E3225B" w:rsidRPr="009C5DEE" w:rsidRDefault="00E3225B" w:rsidP="00E3225B">
            <w:pPr>
              <w:numPr>
                <w:ilvl w:val="0"/>
                <w:numId w:val="8"/>
              </w:numPr>
              <w:tabs>
                <w:tab w:val="num" w:pos="720"/>
              </w:tabs>
              <w:spacing w:line="220" w:lineRule="atLeast"/>
              <w:rPr>
                <w:b/>
                <w:color w:val="000000"/>
                <w:szCs w:val="22"/>
                <w:lang w:val="en-CA"/>
              </w:rPr>
            </w:pPr>
            <w:r w:rsidRPr="009C5DEE">
              <w:rPr>
                <w:rFonts w:eastAsia="Times New Roman"/>
                <w:b/>
                <w:color w:val="C00000"/>
                <w:szCs w:val="22"/>
                <w:lang w:val="en-US"/>
              </w:rPr>
              <w:t>Partners Countries (Beneficiaries, Facilitators and Pivotals) are expected to jointly select pilot projects and validate the assessment framework;</w:t>
            </w:r>
          </w:p>
        </w:tc>
      </w:tr>
      <w:tr w:rsidR="00E3225B" w:rsidTr="00901A5A">
        <w:trPr>
          <w:trHeight w:val="397"/>
        </w:trPr>
        <w:tc>
          <w:tcPr>
            <w:tcW w:w="0" w:type="auto"/>
            <w:shd w:val="clear" w:color="auto" w:fill="auto"/>
            <w:vAlign w:val="center"/>
          </w:tcPr>
          <w:p w:rsidR="00E3225B" w:rsidRPr="0075281A" w:rsidRDefault="00E3225B" w:rsidP="00901A5A">
            <w:pPr>
              <w:spacing w:line="220" w:lineRule="atLeast"/>
              <w:rPr>
                <w:color w:val="FFFFFF" w:themeColor="background1"/>
                <w:lang w:val="en-US"/>
              </w:rPr>
            </w:pPr>
          </w:p>
        </w:tc>
        <w:tc>
          <w:tcPr>
            <w:tcW w:w="0" w:type="auto"/>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C48170"/>
              <w:bottom w:val="single" w:sz="4" w:space="0" w:color="A5A5A5"/>
            </w:tcBorders>
            <w:vAlign w:val="center"/>
          </w:tcPr>
          <w:p w:rsidR="00E3225B" w:rsidRPr="0075281A" w:rsidRDefault="00E3225B" w:rsidP="00901A5A">
            <w:pPr>
              <w:tabs>
                <w:tab w:val="num" w:pos="720"/>
              </w:tabs>
              <w:spacing w:line="220" w:lineRule="atLeast"/>
              <w:ind w:left="360"/>
              <w:rPr>
                <w:color w:val="000000"/>
                <w:szCs w:val="22"/>
                <w:lang w:val="en-US"/>
              </w:rPr>
            </w:pPr>
          </w:p>
        </w:tc>
      </w:tr>
      <w:tr w:rsidR="00E3225B" w:rsidTr="00901A5A">
        <w:trPr>
          <w:trHeight w:val="397"/>
        </w:trPr>
        <w:tc>
          <w:tcPr>
            <w:tcW w:w="0" w:type="auto"/>
            <w:shd w:val="clear" w:color="auto" w:fill="A5A5A5"/>
            <w:vAlign w:val="center"/>
          </w:tcPr>
          <w:p w:rsidR="00E3225B" w:rsidRPr="0075281A" w:rsidRDefault="00E3225B" w:rsidP="00901A5A">
            <w:pPr>
              <w:spacing w:line="220" w:lineRule="atLeast"/>
              <w:rPr>
                <w:color w:val="000000"/>
                <w:lang w:val="en-US"/>
              </w:rPr>
            </w:pPr>
            <w:r w:rsidRPr="0075281A">
              <w:rPr>
                <w:rFonts w:eastAsia="Times New Roman"/>
                <w:color w:val="FFFFFF" w:themeColor="background1"/>
                <w:lang w:val="en-US"/>
              </w:rPr>
              <w:t>May &amp; June</w:t>
            </w:r>
          </w:p>
        </w:tc>
        <w:tc>
          <w:tcPr>
            <w:tcW w:w="0" w:type="auto"/>
            <w:tcBorders>
              <w:right w:val="single" w:sz="4" w:space="0" w:color="A5A5A5"/>
            </w:tcBorders>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A5A5A5"/>
              <w:left w:val="single" w:sz="4" w:space="0" w:color="A5A5A5"/>
              <w:bottom w:val="single" w:sz="4" w:space="0" w:color="A5A5A5"/>
              <w:right w:val="single" w:sz="4" w:space="0" w:color="A5A5A5"/>
            </w:tcBorders>
            <w:vAlign w:val="center"/>
          </w:tcPr>
          <w:p w:rsidR="00E3225B" w:rsidRPr="0075281A" w:rsidRDefault="00E3225B" w:rsidP="00E3225B">
            <w:pPr>
              <w:numPr>
                <w:ilvl w:val="0"/>
                <w:numId w:val="9"/>
              </w:numPr>
              <w:tabs>
                <w:tab w:val="num" w:pos="720"/>
              </w:tabs>
              <w:spacing w:line="220" w:lineRule="atLeast"/>
              <w:rPr>
                <w:color w:val="000000"/>
                <w:szCs w:val="22"/>
                <w:lang w:val="en-US"/>
              </w:rPr>
            </w:pPr>
            <w:r w:rsidRPr="0075281A">
              <w:rPr>
                <w:rFonts w:eastAsia="Times New Roman"/>
                <w:color w:val="000000"/>
                <w:szCs w:val="22"/>
                <w:lang w:val="en-US"/>
              </w:rPr>
              <w:t>Interviews and other data collection on selected case countries and projects;</w:t>
            </w:r>
          </w:p>
          <w:p w:rsidR="00E3225B" w:rsidRPr="0075281A" w:rsidRDefault="00E3225B" w:rsidP="00E3225B">
            <w:pPr>
              <w:numPr>
                <w:ilvl w:val="0"/>
                <w:numId w:val="9"/>
              </w:numPr>
              <w:tabs>
                <w:tab w:val="num" w:pos="720"/>
              </w:tabs>
              <w:spacing w:line="220" w:lineRule="atLeast"/>
              <w:rPr>
                <w:color w:val="000000"/>
                <w:szCs w:val="22"/>
                <w:lang w:val="en-US"/>
              </w:rPr>
            </w:pPr>
            <w:r w:rsidRPr="0075281A">
              <w:rPr>
                <w:rFonts w:eastAsia="Times New Roman"/>
                <w:color w:val="000000"/>
                <w:szCs w:val="22"/>
                <w:lang w:val="en-US"/>
              </w:rPr>
              <w:t>Produce baseline of existing practices in the use of the voluntary guidelines, including in policy, programming, implementation and tracking;</w:t>
            </w:r>
          </w:p>
          <w:p w:rsidR="00E3225B" w:rsidRPr="009C5DEE" w:rsidRDefault="00E3225B" w:rsidP="00E3225B">
            <w:pPr>
              <w:numPr>
                <w:ilvl w:val="0"/>
                <w:numId w:val="9"/>
              </w:numPr>
              <w:tabs>
                <w:tab w:val="num" w:pos="720"/>
              </w:tabs>
              <w:spacing w:line="220" w:lineRule="atLeast"/>
              <w:rPr>
                <w:b/>
                <w:color w:val="000000"/>
                <w:szCs w:val="22"/>
                <w:lang w:val="en-CA"/>
              </w:rPr>
            </w:pPr>
            <w:r w:rsidRPr="009C5DEE">
              <w:rPr>
                <w:rFonts w:eastAsia="Times New Roman"/>
                <w:b/>
                <w:color w:val="C00000"/>
                <w:szCs w:val="22"/>
                <w:lang w:val="en-US"/>
              </w:rPr>
              <w:t>Partner Countries are expected to identify and facilitate the contact with key stakeholders in selected projects;</w:t>
            </w:r>
          </w:p>
        </w:tc>
      </w:tr>
      <w:tr w:rsidR="00E3225B" w:rsidTr="00901A5A">
        <w:trPr>
          <w:trHeight w:val="397"/>
        </w:trPr>
        <w:tc>
          <w:tcPr>
            <w:tcW w:w="0" w:type="auto"/>
            <w:shd w:val="clear" w:color="auto" w:fill="auto"/>
            <w:vAlign w:val="center"/>
          </w:tcPr>
          <w:p w:rsidR="00E3225B" w:rsidRPr="0075281A" w:rsidRDefault="00E3225B" w:rsidP="00901A5A">
            <w:pPr>
              <w:tabs>
                <w:tab w:val="num" w:pos="720"/>
              </w:tabs>
              <w:spacing w:line="220" w:lineRule="atLeast"/>
              <w:rPr>
                <w:color w:val="FFFFFF" w:themeColor="background1"/>
                <w:lang w:val="en-US"/>
              </w:rPr>
            </w:pPr>
          </w:p>
        </w:tc>
        <w:tc>
          <w:tcPr>
            <w:tcW w:w="0" w:type="auto"/>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A5A5A5"/>
              <w:bottom w:val="single" w:sz="4" w:space="0" w:color="AC770D"/>
            </w:tcBorders>
            <w:vAlign w:val="center"/>
          </w:tcPr>
          <w:p w:rsidR="00E3225B" w:rsidRPr="0075281A" w:rsidRDefault="00E3225B" w:rsidP="00901A5A">
            <w:pPr>
              <w:tabs>
                <w:tab w:val="num" w:pos="720"/>
              </w:tabs>
              <w:spacing w:line="220" w:lineRule="atLeast"/>
              <w:ind w:left="360"/>
              <w:rPr>
                <w:color w:val="000000"/>
                <w:szCs w:val="22"/>
                <w:lang w:val="en-US"/>
              </w:rPr>
            </w:pPr>
          </w:p>
        </w:tc>
      </w:tr>
      <w:tr w:rsidR="00E3225B" w:rsidTr="00901A5A">
        <w:trPr>
          <w:trHeight w:val="397"/>
        </w:trPr>
        <w:tc>
          <w:tcPr>
            <w:tcW w:w="0" w:type="auto"/>
            <w:shd w:val="clear" w:color="auto" w:fill="AC770D"/>
            <w:vAlign w:val="center"/>
          </w:tcPr>
          <w:p w:rsidR="00E3225B" w:rsidRPr="0075281A" w:rsidRDefault="00E3225B" w:rsidP="00901A5A">
            <w:pPr>
              <w:tabs>
                <w:tab w:val="num" w:pos="720"/>
              </w:tabs>
              <w:spacing w:line="220" w:lineRule="atLeast"/>
              <w:rPr>
                <w:color w:val="000000"/>
                <w:lang w:val="en-US"/>
              </w:rPr>
            </w:pPr>
            <w:r w:rsidRPr="0075281A">
              <w:rPr>
                <w:rFonts w:eastAsia="Times New Roman"/>
                <w:color w:val="FFFFFF" w:themeColor="background1"/>
                <w:lang w:val="en-US"/>
              </w:rPr>
              <w:t>July – Mid August</w:t>
            </w:r>
          </w:p>
        </w:tc>
        <w:tc>
          <w:tcPr>
            <w:tcW w:w="0" w:type="auto"/>
            <w:tcBorders>
              <w:right w:val="single" w:sz="4" w:space="0" w:color="AC770D"/>
            </w:tcBorders>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AC770D"/>
              <w:left w:val="single" w:sz="4" w:space="0" w:color="AC770D"/>
              <w:bottom w:val="single" w:sz="4" w:space="0" w:color="AC770D"/>
              <w:right w:val="single" w:sz="4" w:space="0" w:color="AC770D"/>
            </w:tcBorders>
            <w:vAlign w:val="center"/>
          </w:tcPr>
          <w:p w:rsidR="00E3225B" w:rsidRPr="0075281A" w:rsidRDefault="00E3225B" w:rsidP="00E3225B">
            <w:pPr>
              <w:numPr>
                <w:ilvl w:val="0"/>
                <w:numId w:val="10"/>
              </w:numPr>
              <w:tabs>
                <w:tab w:val="num" w:pos="720"/>
              </w:tabs>
              <w:spacing w:line="220" w:lineRule="atLeast"/>
              <w:rPr>
                <w:color w:val="000000"/>
                <w:szCs w:val="22"/>
                <w:lang w:val="en-CA"/>
              </w:rPr>
            </w:pPr>
            <w:r w:rsidRPr="0075281A">
              <w:rPr>
                <w:rFonts w:eastAsia="Times New Roman"/>
                <w:color w:val="000000"/>
                <w:szCs w:val="22"/>
                <w:lang w:val="en-US"/>
              </w:rPr>
              <w:t>Review and analysis of the interviews and collected data</w:t>
            </w:r>
          </w:p>
          <w:p w:rsidR="00E3225B" w:rsidRPr="0075281A" w:rsidRDefault="00E3225B" w:rsidP="00E3225B">
            <w:pPr>
              <w:numPr>
                <w:ilvl w:val="0"/>
                <w:numId w:val="10"/>
              </w:numPr>
              <w:tabs>
                <w:tab w:val="num" w:pos="720"/>
              </w:tabs>
              <w:spacing w:line="220" w:lineRule="atLeast"/>
              <w:rPr>
                <w:color w:val="000000"/>
                <w:szCs w:val="22"/>
                <w:lang w:val="en-US"/>
              </w:rPr>
            </w:pPr>
            <w:r w:rsidRPr="0075281A">
              <w:rPr>
                <w:rFonts w:eastAsia="Times New Roman"/>
                <w:color w:val="000000"/>
                <w:szCs w:val="22"/>
                <w:lang w:val="en-US"/>
              </w:rPr>
              <w:t>Preliminary analysis and consultations</w:t>
            </w:r>
          </w:p>
        </w:tc>
      </w:tr>
      <w:tr w:rsidR="00E3225B" w:rsidTr="00901A5A">
        <w:trPr>
          <w:trHeight w:val="397"/>
        </w:trPr>
        <w:tc>
          <w:tcPr>
            <w:tcW w:w="0" w:type="auto"/>
            <w:shd w:val="clear" w:color="auto" w:fill="auto"/>
            <w:vAlign w:val="center"/>
          </w:tcPr>
          <w:p w:rsidR="00E3225B" w:rsidRPr="0075281A" w:rsidRDefault="00E3225B" w:rsidP="00901A5A">
            <w:pPr>
              <w:spacing w:line="220" w:lineRule="atLeast"/>
              <w:rPr>
                <w:color w:val="FFFFFF" w:themeColor="background1"/>
                <w:lang w:val="en-US"/>
              </w:rPr>
            </w:pPr>
          </w:p>
        </w:tc>
        <w:tc>
          <w:tcPr>
            <w:tcW w:w="0" w:type="auto"/>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AC770D"/>
              <w:bottom w:val="single" w:sz="4" w:space="0" w:color="AD6300"/>
            </w:tcBorders>
            <w:vAlign w:val="center"/>
          </w:tcPr>
          <w:p w:rsidR="00E3225B" w:rsidRPr="0075281A" w:rsidRDefault="00E3225B" w:rsidP="00901A5A">
            <w:pPr>
              <w:tabs>
                <w:tab w:val="num" w:pos="720"/>
              </w:tabs>
              <w:spacing w:line="220" w:lineRule="atLeast"/>
              <w:ind w:left="360"/>
              <w:rPr>
                <w:color w:val="000000"/>
                <w:szCs w:val="22"/>
                <w:lang w:val="en-US"/>
              </w:rPr>
            </w:pPr>
          </w:p>
        </w:tc>
      </w:tr>
      <w:tr w:rsidR="00E3225B" w:rsidTr="00901A5A">
        <w:trPr>
          <w:trHeight w:val="397"/>
        </w:trPr>
        <w:tc>
          <w:tcPr>
            <w:tcW w:w="0" w:type="auto"/>
            <w:shd w:val="clear" w:color="auto" w:fill="AD6300"/>
            <w:vAlign w:val="center"/>
          </w:tcPr>
          <w:p w:rsidR="00E3225B" w:rsidRPr="0075281A" w:rsidRDefault="00E3225B" w:rsidP="00901A5A">
            <w:pPr>
              <w:spacing w:line="220" w:lineRule="atLeast"/>
              <w:rPr>
                <w:color w:val="000000"/>
                <w:lang w:val="en-US"/>
              </w:rPr>
            </w:pPr>
            <w:r w:rsidRPr="0075281A">
              <w:rPr>
                <w:rFonts w:eastAsia="Times New Roman"/>
                <w:color w:val="FFFFFF" w:themeColor="background1"/>
                <w:lang w:val="en-US"/>
              </w:rPr>
              <w:t>August</w:t>
            </w:r>
          </w:p>
        </w:tc>
        <w:tc>
          <w:tcPr>
            <w:tcW w:w="0" w:type="auto"/>
            <w:tcBorders>
              <w:right w:val="single" w:sz="4" w:space="0" w:color="AD6300"/>
            </w:tcBorders>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AD6300"/>
              <w:left w:val="single" w:sz="4" w:space="0" w:color="AD6300"/>
              <w:bottom w:val="single" w:sz="4" w:space="0" w:color="AD6300"/>
              <w:right w:val="single" w:sz="4" w:space="0" w:color="AD6300"/>
            </w:tcBorders>
            <w:vAlign w:val="center"/>
          </w:tcPr>
          <w:p w:rsidR="00E3225B" w:rsidRPr="0075281A" w:rsidRDefault="00E3225B" w:rsidP="00E3225B">
            <w:pPr>
              <w:numPr>
                <w:ilvl w:val="0"/>
                <w:numId w:val="11"/>
              </w:numPr>
              <w:tabs>
                <w:tab w:val="num" w:pos="720"/>
              </w:tabs>
              <w:spacing w:line="220" w:lineRule="atLeast"/>
              <w:rPr>
                <w:color w:val="000000"/>
                <w:szCs w:val="22"/>
                <w:lang w:val="en-CA"/>
              </w:rPr>
            </w:pPr>
            <w:r w:rsidRPr="0075281A">
              <w:rPr>
                <w:rFonts w:eastAsia="Times New Roman"/>
                <w:color w:val="000000"/>
                <w:szCs w:val="22"/>
                <w:lang w:val="en-US"/>
              </w:rPr>
              <w:t>1</w:t>
            </w:r>
            <w:r w:rsidRPr="0075281A">
              <w:rPr>
                <w:rFonts w:eastAsia="Times New Roman"/>
                <w:color w:val="000000"/>
                <w:szCs w:val="22"/>
                <w:vertAlign w:val="superscript"/>
                <w:lang w:val="en-US"/>
              </w:rPr>
              <w:t>st</w:t>
            </w:r>
            <w:r w:rsidRPr="0075281A">
              <w:rPr>
                <w:rFonts w:eastAsia="Times New Roman"/>
                <w:color w:val="000000"/>
                <w:szCs w:val="22"/>
                <w:lang w:val="en-US"/>
              </w:rPr>
              <w:t xml:space="preserve"> draft - Assessment of pilot country projects</w:t>
            </w:r>
          </w:p>
          <w:p w:rsidR="00E3225B" w:rsidRPr="0075281A" w:rsidRDefault="00E3225B" w:rsidP="00E3225B">
            <w:pPr>
              <w:numPr>
                <w:ilvl w:val="0"/>
                <w:numId w:val="11"/>
              </w:numPr>
              <w:tabs>
                <w:tab w:val="num" w:pos="720"/>
              </w:tabs>
              <w:spacing w:line="220" w:lineRule="atLeast"/>
              <w:rPr>
                <w:color w:val="000000"/>
                <w:szCs w:val="22"/>
                <w:lang w:val="en-CA"/>
              </w:rPr>
            </w:pPr>
            <w:r w:rsidRPr="0075281A">
              <w:rPr>
                <w:rFonts w:eastAsia="Times New Roman"/>
                <w:color w:val="000000"/>
                <w:szCs w:val="22"/>
                <w:lang w:val="en-US"/>
              </w:rPr>
              <w:t>1</w:t>
            </w:r>
            <w:r w:rsidRPr="0075281A">
              <w:rPr>
                <w:rFonts w:eastAsia="Times New Roman"/>
                <w:color w:val="000000"/>
                <w:szCs w:val="22"/>
                <w:vertAlign w:val="superscript"/>
                <w:lang w:val="en-US"/>
              </w:rPr>
              <w:t>st</w:t>
            </w:r>
            <w:r w:rsidRPr="0075281A">
              <w:rPr>
                <w:rFonts w:eastAsia="Times New Roman"/>
                <w:color w:val="000000"/>
                <w:szCs w:val="22"/>
                <w:lang w:val="en-US"/>
              </w:rPr>
              <w:t xml:space="preserve"> draft of Lessons learned and findings (Roadmap)</w:t>
            </w:r>
          </w:p>
          <w:p w:rsidR="00E3225B" w:rsidRPr="00C4510C" w:rsidRDefault="00E3225B" w:rsidP="001053EE">
            <w:pPr>
              <w:numPr>
                <w:ilvl w:val="0"/>
                <w:numId w:val="11"/>
              </w:numPr>
              <w:spacing w:line="220" w:lineRule="atLeast"/>
              <w:rPr>
                <w:color w:val="000000"/>
                <w:szCs w:val="22"/>
                <w:lang w:val="en-CA"/>
              </w:rPr>
            </w:pPr>
            <w:r w:rsidRPr="00151A84">
              <w:rPr>
                <w:rFonts w:eastAsia="Times New Roman"/>
                <w:b/>
                <w:color w:val="C00000"/>
                <w:szCs w:val="22"/>
                <w:lang w:val="en-US"/>
              </w:rPr>
              <w:t>Partner Countries are expected to review the drafts (Assessment and Roadmap);</w:t>
            </w:r>
            <w:bookmarkStart w:id="0" w:name="_GoBack"/>
            <w:bookmarkEnd w:id="0"/>
          </w:p>
        </w:tc>
      </w:tr>
      <w:tr w:rsidR="00E3225B" w:rsidTr="00901A5A">
        <w:trPr>
          <w:trHeight w:val="397"/>
        </w:trPr>
        <w:tc>
          <w:tcPr>
            <w:tcW w:w="0" w:type="auto"/>
            <w:shd w:val="clear" w:color="auto" w:fill="auto"/>
            <w:vAlign w:val="center"/>
          </w:tcPr>
          <w:p w:rsidR="00E3225B" w:rsidRPr="0075281A" w:rsidRDefault="00E3225B" w:rsidP="00901A5A">
            <w:pPr>
              <w:spacing w:line="220" w:lineRule="atLeast"/>
              <w:rPr>
                <w:color w:val="FFFFFF" w:themeColor="background1"/>
                <w:lang w:val="en-US"/>
              </w:rPr>
            </w:pPr>
          </w:p>
        </w:tc>
        <w:tc>
          <w:tcPr>
            <w:tcW w:w="0" w:type="auto"/>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AD6300"/>
              <w:bottom w:val="single" w:sz="4" w:space="0" w:color="B43500"/>
            </w:tcBorders>
            <w:vAlign w:val="center"/>
          </w:tcPr>
          <w:p w:rsidR="00E3225B" w:rsidRPr="0075281A" w:rsidRDefault="00E3225B" w:rsidP="00901A5A">
            <w:pPr>
              <w:tabs>
                <w:tab w:val="num" w:pos="720"/>
              </w:tabs>
              <w:spacing w:line="220" w:lineRule="atLeast"/>
              <w:ind w:left="360"/>
              <w:rPr>
                <w:color w:val="000000"/>
                <w:szCs w:val="22"/>
                <w:lang w:val="en-US"/>
              </w:rPr>
            </w:pPr>
          </w:p>
        </w:tc>
      </w:tr>
      <w:tr w:rsidR="00E3225B" w:rsidTr="00901A5A">
        <w:trPr>
          <w:trHeight w:val="397"/>
        </w:trPr>
        <w:tc>
          <w:tcPr>
            <w:tcW w:w="0" w:type="auto"/>
            <w:shd w:val="clear" w:color="auto" w:fill="B43500"/>
            <w:vAlign w:val="center"/>
          </w:tcPr>
          <w:p w:rsidR="00E3225B" w:rsidRPr="0075281A" w:rsidRDefault="00E3225B" w:rsidP="00901A5A">
            <w:pPr>
              <w:spacing w:line="220" w:lineRule="atLeast"/>
              <w:rPr>
                <w:color w:val="000000"/>
                <w:lang w:val="en-US"/>
              </w:rPr>
            </w:pPr>
            <w:r w:rsidRPr="0075281A">
              <w:rPr>
                <w:rFonts w:eastAsia="Times New Roman"/>
                <w:color w:val="FFFFFF" w:themeColor="background1"/>
                <w:lang w:val="en-US"/>
              </w:rPr>
              <w:t>September</w:t>
            </w:r>
          </w:p>
        </w:tc>
        <w:tc>
          <w:tcPr>
            <w:tcW w:w="0" w:type="auto"/>
            <w:tcBorders>
              <w:right w:val="single" w:sz="4" w:space="0" w:color="B43500"/>
            </w:tcBorders>
            <w:vAlign w:val="center"/>
          </w:tcPr>
          <w:p w:rsidR="00E3225B" w:rsidRPr="002E065D" w:rsidRDefault="00E3225B" w:rsidP="00901A5A">
            <w:pPr>
              <w:tabs>
                <w:tab w:val="num" w:pos="720"/>
              </w:tabs>
              <w:spacing w:line="220" w:lineRule="atLeast"/>
              <w:rPr>
                <w:color w:val="000000"/>
                <w:lang w:val="en-US"/>
              </w:rPr>
            </w:pPr>
          </w:p>
        </w:tc>
        <w:tc>
          <w:tcPr>
            <w:tcW w:w="0" w:type="auto"/>
            <w:tcBorders>
              <w:top w:val="single" w:sz="4" w:space="0" w:color="B43500"/>
              <w:left w:val="single" w:sz="4" w:space="0" w:color="B43500"/>
              <w:bottom w:val="single" w:sz="4" w:space="0" w:color="B43500"/>
              <w:right w:val="single" w:sz="4" w:space="0" w:color="B43500"/>
            </w:tcBorders>
            <w:vAlign w:val="center"/>
          </w:tcPr>
          <w:p w:rsidR="00E3225B" w:rsidRPr="0075281A" w:rsidRDefault="00E3225B" w:rsidP="00E3225B">
            <w:pPr>
              <w:numPr>
                <w:ilvl w:val="0"/>
                <w:numId w:val="12"/>
              </w:numPr>
              <w:tabs>
                <w:tab w:val="num" w:pos="720"/>
              </w:tabs>
              <w:spacing w:line="220" w:lineRule="atLeast"/>
              <w:rPr>
                <w:color w:val="000000"/>
                <w:szCs w:val="22"/>
                <w:lang w:val="en-CA"/>
              </w:rPr>
            </w:pPr>
            <w:r w:rsidRPr="0075281A">
              <w:rPr>
                <w:rFonts w:eastAsia="Times New Roman"/>
                <w:color w:val="000000"/>
                <w:szCs w:val="22"/>
                <w:lang w:val="en-US"/>
              </w:rPr>
              <w:t>Revised draft</w:t>
            </w:r>
          </w:p>
          <w:p w:rsidR="00E3225B" w:rsidRPr="0075281A" w:rsidRDefault="00E3225B" w:rsidP="00E3225B">
            <w:pPr>
              <w:numPr>
                <w:ilvl w:val="0"/>
                <w:numId w:val="12"/>
              </w:numPr>
              <w:tabs>
                <w:tab w:val="num" w:pos="720"/>
              </w:tabs>
              <w:spacing w:line="220" w:lineRule="atLeast"/>
              <w:rPr>
                <w:color w:val="000000"/>
                <w:szCs w:val="22"/>
                <w:lang w:val="en-CA"/>
              </w:rPr>
            </w:pPr>
            <w:r w:rsidRPr="0075281A">
              <w:rPr>
                <w:rFonts w:eastAsia="Times New Roman"/>
                <w:color w:val="000000"/>
                <w:szCs w:val="22"/>
                <w:lang w:val="en-US"/>
              </w:rPr>
              <w:t>Spin-off products as needed to disseminate findings</w:t>
            </w:r>
          </w:p>
        </w:tc>
      </w:tr>
    </w:tbl>
    <w:p w:rsidR="00E3225B" w:rsidRPr="00E3225B" w:rsidRDefault="00E3225B" w:rsidP="00E3225B">
      <w:pPr>
        <w:rPr>
          <w:rFonts w:asciiTheme="majorHAnsi" w:eastAsiaTheme="majorEastAsia" w:hAnsiTheme="majorHAnsi" w:cstheme="majorBidi"/>
          <w:color w:val="2E74B5" w:themeColor="accent1" w:themeShade="BF"/>
          <w:sz w:val="26"/>
          <w:szCs w:val="26"/>
        </w:rPr>
      </w:pPr>
    </w:p>
    <w:p w:rsidR="00707364" w:rsidRDefault="00707364" w:rsidP="0060646A"/>
    <w:p w:rsidR="00707364" w:rsidRDefault="00707364" w:rsidP="0060646A"/>
    <w:p w:rsidR="0060646A" w:rsidRPr="0060646A" w:rsidRDefault="00707364" w:rsidP="0060646A">
      <w:r>
        <w:t xml:space="preserve">If you are interested in collaborating with this work, or can facilitate a connection to a beneficiary partner that fit the criteria, you are invited to get in touch with Global Affairs Canada at </w:t>
      </w:r>
      <w:hyperlink r:id="rId9" w:history="1">
        <w:r w:rsidRPr="008C0EC2">
          <w:rPr>
            <w:rStyle w:val="Hyperlink"/>
          </w:rPr>
          <w:t>joanie.turcot@international.gc.ca</w:t>
        </w:r>
      </w:hyperlink>
      <w:r w:rsidR="0052206A">
        <w:t xml:space="preserve"> or </w:t>
      </w:r>
      <w:r>
        <w:t>via the GPEDC Joint Support Team who can facilitate a connection.</w:t>
      </w:r>
    </w:p>
    <w:sectPr w:rsidR="0060646A" w:rsidRPr="0060646A" w:rsidSect="00E3225B">
      <w:type w:val="continuous"/>
      <w:pgSz w:w="11900" w:h="16840" w:code="9"/>
      <w:pgMar w:top="3254" w:right="1440" w:bottom="193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DC" w:rsidRDefault="00EF76DC" w:rsidP="009D7A03">
      <w:r>
        <w:separator/>
      </w:r>
    </w:p>
  </w:endnote>
  <w:endnote w:type="continuationSeparator" w:id="0">
    <w:p w:rsidR="00EF76DC" w:rsidRDefault="00EF76DC" w:rsidP="009D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00000001"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Arial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DC" w:rsidRDefault="00EF76DC" w:rsidP="009D7A03">
      <w:r>
        <w:separator/>
      </w:r>
    </w:p>
  </w:footnote>
  <w:footnote w:type="continuationSeparator" w:id="0">
    <w:p w:rsidR="00EF76DC" w:rsidRDefault="00EF76DC" w:rsidP="009D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03" w:rsidRDefault="009D7A03">
    <w:pPr>
      <w:pStyle w:val="Header"/>
    </w:pPr>
    <w:r>
      <w:rPr>
        <w:noProof/>
        <w:lang w:val="en-CA" w:eastAsia="en-CA"/>
      </w:rPr>
      <w:drawing>
        <wp:anchor distT="0" distB="0" distL="114300" distR="114300" simplePos="0" relativeHeight="251659264" behindDoc="1" locked="0" layoutInCell="1" allowOverlap="1" wp14:anchorId="7E49F361" wp14:editId="37870C61">
          <wp:simplePos x="0" y="0"/>
          <wp:positionH relativeFrom="page">
            <wp:align>center</wp:align>
          </wp:positionH>
          <wp:positionV relativeFrom="page">
            <wp:align>center</wp:align>
          </wp:positionV>
          <wp:extent cx="7269480" cy="102687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15_GAC_Factsheet.jpg"/>
                  <pic:cNvPicPr/>
                </pic:nvPicPr>
                <pic:blipFill>
                  <a:blip r:embed="rId1">
                    <a:extLst>
                      <a:ext uri="{28A0092B-C50C-407E-A947-70E740481C1C}">
                        <a14:useLocalDpi xmlns:a14="http://schemas.microsoft.com/office/drawing/2010/main" val="0"/>
                      </a:ext>
                    </a:extLst>
                  </a:blip>
                  <a:stretch>
                    <a:fillRect/>
                  </a:stretch>
                </pic:blipFill>
                <pic:spPr>
                  <a:xfrm>
                    <a:off x="0" y="0"/>
                    <a:ext cx="7269480" cy="102687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D91"/>
    <w:multiLevelType w:val="hybridMultilevel"/>
    <w:tmpl w:val="4B08DBAC"/>
    <w:lvl w:ilvl="0" w:tplc="16FC254A">
      <w:start w:val="1"/>
      <w:numFmt w:val="bullet"/>
      <w:lvlText w:val="•"/>
      <w:lvlJc w:val="left"/>
      <w:pPr>
        <w:tabs>
          <w:tab w:val="num" w:pos="360"/>
        </w:tabs>
        <w:ind w:left="360" w:hanging="360"/>
      </w:pPr>
      <w:rPr>
        <w:rFonts w:ascii="Times New Roman" w:hAnsi="Times New Roman" w:hint="default"/>
      </w:rPr>
    </w:lvl>
    <w:lvl w:ilvl="1" w:tplc="032E5B5C" w:tentative="1">
      <w:start w:val="1"/>
      <w:numFmt w:val="bullet"/>
      <w:lvlText w:val="•"/>
      <w:lvlJc w:val="left"/>
      <w:pPr>
        <w:tabs>
          <w:tab w:val="num" w:pos="1080"/>
        </w:tabs>
        <w:ind w:left="1080" w:hanging="360"/>
      </w:pPr>
      <w:rPr>
        <w:rFonts w:ascii="Times New Roman" w:hAnsi="Times New Roman" w:hint="default"/>
      </w:rPr>
    </w:lvl>
    <w:lvl w:ilvl="2" w:tplc="548A9D86" w:tentative="1">
      <w:start w:val="1"/>
      <w:numFmt w:val="bullet"/>
      <w:lvlText w:val="•"/>
      <w:lvlJc w:val="left"/>
      <w:pPr>
        <w:tabs>
          <w:tab w:val="num" w:pos="1800"/>
        </w:tabs>
        <w:ind w:left="1800" w:hanging="360"/>
      </w:pPr>
      <w:rPr>
        <w:rFonts w:ascii="Times New Roman" w:hAnsi="Times New Roman" w:hint="default"/>
      </w:rPr>
    </w:lvl>
    <w:lvl w:ilvl="3" w:tplc="B0E83C30" w:tentative="1">
      <w:start w:val="1"/>
      <w:numFmt w:val="bullet"/>
      <w:lvlText w:val="•"/>
      <w:lvlJc w:val="left"/>
      <w:pPr>
        <w:tabs>
          <w:tab w:val="num" w:pos="2520"/>
        </w:tabs>
        <w:ind w:left="2520" w:hanging="360"/>
      </w:pPr>
      <w:rPr>
        <w:rFonts w:ascii="Times New Roman" w:hAnsi="Times New Roman" w:hint="default"/>
      </w:rPr>
    </w:lvl>
    <w:lvl w:ilvl="4" w:tplc="746CB9C2" w:tentative="1">
      <w:start w:val="1"/>
      <w:numFmt w:val="bullet"/>
      <w:lvlText w:val="•"/>
      <w:lvlJc w:val="left"/>
      <w:pPr>
        <w:tabs>
          <w:tab w:val="num" w:pos="3240"/>
        </w:tabs>
        <w:ind w:left="3240" w:hanging="360"/>
      </w:pPr>
      <w:rPr>
        <w:rFonts w:ascii="Times New Roman" w:hAnsi="Times New Roman" w:hint="default"/>
      </w:rPr>
    </w:lvl>
    <w:lvl w:ilvl="5" w:tplc="FACE4322" w:tentative="1">
      <w:start w:val="1"/>
      <w:numFmt w:val="bullet"/>
      <w:lvlText w:val="•"/>
      <w:lvlJc w:val="left"/>
      <w:pPr>
        <w:tabs>
          <w:tab w:val="num" w:pos="3960"/>
        </w:tabs>
        <w:ind w:left="3960" w:hanging="360"/>
      </w:pPr>
      <w:rPr>
        <w:rFonts w:ascii="Times New Roman" w:hAnsi="Times New Roman" w:hint="default"/>
      </w:rPr>
    </w:lvl>
    <w:lvl w:ilvl="6" w:tplc="E394571C" w:tentative="1">
      <w:start w:val="1"/>
      <w:numFmt w:val="bullet"/>
      <w:lvlText w:val="•"/>
      <w:lvlJc w:val="left"/>
      <w:pPr>
        <w:tabs>
          <w:tab w:val="num" w:pos="4680"/>
        </w:tabs>
        <w:ind w:left="4680" w:hanging="360"/>
      </w:pPr>
      <w:rPr>
        <w:rFonts w:ascii="Times New Roman" w:hAnsi="Times New Roman" w:hint="default"/>
      </w:rPr>
    </w:lvl>
    <w:lvl w:ilvl="7" w:tplc="39387770" w:tentative="1">
      <w:start w:val="1"/>
      <w:numFmt w:val="bullet"/>
      <w:lvlText w:val="•"/>
      <w:lvlJc w:val="left"/>
      <w:pPr>
        <w:tabs>
          <w:tab w:val="num" w:pos="5400"/>
        </w:tabs>
        <w:ind w:left="5400" w:hanging="360"/>
      </w:pPr>
      <w:rPr>
        <w:rFonts w:ascii="Times New Roman" w:hAnsi="Times New Roman" w:hint="default"/>
      </w:rPr>
    </w:lvl>
    <w:lvl w:ilvl="8" w:tplc="9708A574"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1D0214F5"/>
    <w:multiLevelType w:val="hybridMultilevel"/>
    <w:tmpl w:val="3DF0A650"/>
    <w:lvl w:ilvl="0" w:tplc="B81EC70A">
      <w:start w:val="1"/>
      <w:numFmt w:val="bullet"/>
      <w:lvlText w:val="•"/>
      <w:lvlJc w:val="left"/>
      <w:pPr>
        <w:tabs>
          <w:tab w:val="num" w:pos="360"/>
        </w:tabs>
        <w:ind w:left="360" w:hanging="360"/>
      </w:pPr>
      <w:rPr>
        <w:rFonts w:ascii="Times New Roman" w:hAnsi="Times New Roman" w:hint="default"/>
      </w:rPr>
    </w:lvl>
    <w:lvl w:ilvl="1" w:tplc="4FD640FA" w:tentative="1">
      <w:start w:val="1"/>
      <w:numFmt w:val="bullet"/>
      <w:lvlText w:val="•"/>
      <w:lvlJc w:val="left"/>
      <w:pPr>
        <w:tabs>
          <w:tab w:val="num" w:pos="1080"/>
        </w:tabs>
        <w:ind w:left="1080" w:hanging="360"/>
      </w:pPr>
      <w:rPr>
        <w:rFonts w:ascii="Times New Roman" w:hAnsi="Times New Roman" w:hint="default"/>
      </w:rPr>
    </w:lvl>
    <w:lvl w:ilvl="2" w:tplc="10062AAC" w:tentative="1">
      <w:start w:val="1"/>
      <w:numFmt w:val="bullet"/>
      <w:lvlText w:val="•"/>
      <w:lvlJc w:val="left"/>
      <w:pPr>
        <w:tabs>
          <w:tab w:val="num" w:pos="1800"/>
        </w:tabs>
        <w:ind w:left="1800" w:hanging="360"/>
      </w:pPr>
      <w:rPr>
        <w:rFonts w:ascii="Times New Roman" w:hAnsi="Times New Roman" w:hint="default"/>
      </w:rPr>
    </w:lvl>
    <w:lvl w:ilvl="3" w:tplc="4CF6D51E" w:tentative="1">
      <w:start w:val="1"/>
      <w:numFmt w:val="bullet"/>
      <w:lvlText w:val="•"/>
      <w:lvlJc w:val="left"/>
      <w:pPr>
        <w:tabs>
          <w:tab w:val="num" w:pos="2520"/>
        </w:tabs>
        <w:ind w:left="2520" w:hanging="360"/>
      </w:pPr>
      <w:rPr>
        <w:rFonts w:ascii="Times New Roman" w:hAnsi="Times New Roman" w:hint="default"/>
      </w:rPr>
    </w:lvl>
    <w:lvl w:ilvl="4" w:tplc="8DA20A5A" w:tentative="1">
      <w:start w:val="1"/>
      <w:numFmt w:val="bullet"/>
      <w:lvlText w:val="•"/>
      <w:lvlJc w:val="left"/>
      <w:pPr>
        <w:tabs>
          <w:tab w:val="num" w:pos="3240"/>
        </w:tabs>
        <w:ind w:left="3240" w:hanging="360"/>
      </w:pPr>
      <w:rPr>
        <w:rFonts w:ascii="Times New Roman" w:hAnsi="Times New Roman" w:hint="default"/>
      </w:rPr>
    </w:lvl>
    <w:lvl w:ilvl="5" w:tplc="9B98C682" w:tentative="1">
      <w:start w:val="1"/>
      <w:numFmt w:val="bullet"/>
      <w:lvlText w:val="•"/>
      <w:lvlJc w:val="left"/>
      <w:pPr>
        <w:tabs>
          <w:tab w:val="num" w:pos="3960"/>
        </w:tabs>
        <w:ind w:left="3960" w:hanging="360"/>
      </w:pPr>
      <w:rPr>
        <w:rFonts w:ascii="Times New Roman" w:hAnsi="Times New Roman" w:hint="default"/>
      </w:rPr>
    </w:lvl>
    <w:lvl w:ilvl="6" w:tplc="ED8A731E" w:tentative="1">
      <w:start w:val="1"/>
      <w:numFmt w:val="bullet"/>
      <w:lvlText w:val="•"/>
      <w:lvlJc w:val="left"/>
      <w:pPr>
        <w:tabs>
          <w:tab w:val="num" w:pos="4680"/>
        </w:tabs>
        <w:ind w:left="4680" w:hanging="360"/>
      </w:pPr>
      <w:rPr>
        <w:rFonts w:ascii="Times New Roman" w:hAnsi="Times New Roman" w:hint="default"/>
      </w:rPr>
    </w:lvl>
    <w:lvl w:ilvl="7" w:tplc="C0CCFCFA" w:tentative="1">
      <w:start w:val="1"/>
      <w:numFmt w:val="bullet"/>
      <w:lvlText w:val="•"/>
      <w:lvlJc w:val="left"/>
      <w:pPr>
        <w:tabs>
          <w:tab w:val="num" w:pos="5400"/>
        </w:tabs>
        <w:ind w:left="5400" w:hanging="360"/>
      </w:pPr>
      <w:rPr>
        <w:rFonts w:ascii="Times New Roman" w:hAnsi="Times New Roman" w:hint="default"/>
      </w:rPr>
    </w:lvl>
    <w:lvl w:ilvl="8" w:tplc="A2200D3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233316F7"/>
    <w:multiLevelType w:val="hybridMultilevel"/>
    <w:tmpl w:val="79CE78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2963967"/>
    <w:multiLevelType w:val="hybridMultilevel"/>
    <w:tmpl w:val="E00A7884"/>
    <w:lvl w:ilvl="0" w:tplc="CF3244AC">
      <w:start w:val="1"/>
      <w:numFmt w:val="bullet"/>
      <w:lvlText w:val="•"/>
      <w:lvlJc w:val="left"/>
      <w:pPr>
        <w:tabs>
          <w:tab w:val="num" w:pos="360"/>
        </w:tabs>
        <w:ind w:left="360" w:hanging="360"/>
      </w:pPr>
      <w:rPr>
        <w:rFonts w:ascii="Times New Roman" w:hAnsi="Times New Roman" w:hint="default"/>
      </w:rPr>
    </w:lvl>
    <w:lvl w:ilvl="1" w:tplc="0394BDAC" w:tentative="1">
      <w:start w:val="1"/>
      <w:numFmt w:val="bullet"/>
      <w:lvlText w:val="•"/>
      <w:lvlJc w:val="left"/>
      <w:pPr>
        <w:tabs>
          <w:tab w:val="num" w:pos="1080"/>
        </w:tabs>
        <w:ind w:left="1080" w:hanging="360"/>
      </w:pPr>
      <w:rPr>
        <w:rFonts w:ascii="Times New Roman" w:hAnsi="Times New Roman" w:hint="default"/>
      </w:rPr>
    </w:lvl>
    <w:lvl w:ilvl="2" w:tplc="FADEC638" w:tentative="1">
      <w:start w:val="1"/>
      <w:numFmt w:val="bullet"/>
      <w:lvlText w:val="•"/>
      <w:lvlJc w:val="left"/>
      <w:pPr>
        <w:tabs>
          <w:tab w:val="num" w:pos="1800"/>
        </w:tabs>
        <w:ind w:left="1800" w:hanging="360"/>
      </w:pPr>
      <w:rPr>
        <w:rFonts w:ascii="Times New Roman" w:hAnsi="Times New Roman" w:hint="default"/>
      </w:rPr>
    </w:lvl>
    <w:lvl w:ilvl="3" w:tplc="D5909338" w:tentative="1">
      <w:start w:val="1"/>
      <w:numFmt w:val="bullet"/>
      <w:lvlText w:val="•"/>
      <w:lvlJc w:val="left"/>
      <w:pPr>
        <w:tabs>
          <w:tab w:val="num" w:pos="2520"/>
        </w:tabs>
        <w:ind w:left="2520" w:hanging="360"/>
      </w:pPr>
      <w:rPr>
        <w:rFonts w:ascii="Times New Roman" w:hAnsi="Times New Roman" w:hint="default"/>
      </w:rPr>
    </w:lvl>
    <w:lvl w:ilvl="4" w:tplc="394A231C" w:tentative="1">
      <w:start w:val="1"/>
      <w:numFmt w:val="bullet"/>
      <w:lvlText w:val="•"/>
      <w:lvlJc w:val="left"/>
      <w:pPr>
        <w:tabs>
          <w:tab w:val="num" w:pos="3240"/>
        </w:tabs>
        <w:ind w:left="3240" w:hanging="360"/>
      </w:pPr>
      <w:rPr>
        <w:rFonts w:ascii="Times New Roman" w:hAnsi="Times New Roman" w:hint="default"/>
      </w:rPr>
    </w:lvl>
    <w:lvl w:ilvl="5" w:tplc="68643D64" w:tentative="1">
      <w:start w:val="1"/>
      <w:numFmt w:val="bullet"/>
      <w:lvlText w:val="•"/>
      <w:lvlJc w:val="left"/>
      <w:pPr>
        <w:tabs>
          <w:tab w:val="num" w:pos="3960"/>
        </w:tabs>
        <w:ind w:left="3960" w:hanging="360"/>
      </w:pPr>
      <w:rPr>
        <w:rFonts w:ascii="Times New Roman" w:hAnsi="Times New Roman" w:hint="default"/>
      </w:rPr>
    </w:lvl>
    <w:lvl w:ilvl="6" w:tplc="96384B0A" w:tentative="1">
      <w:start w:val="1"/>
      <w:numFmt w:val="bullet"/>
      <w:lvlText w:val="•"/>
      <w:lvlJc w:val="left"/>
      <w:pPr>
        <w:tabs>
          <w:tab w:val="num" w:pos="4680"/>
        </w:tabs>
        <w:ind w:left="4680" w:hanging="360"/>
      </w:pPr>
      <w:rPr>
        <w:rFonts w:ascii="Times New Roman" w:hAnsi="Times New Roman" w:hint="default"/>
      </w:rPr>
    </w:lvl>
    <w:lvl w:ilvl="7" w:tplc="105A883C" w:tentative="1">
      <w:start w:val="1"/>
      <w:numFmt w:val="bullet"/>
      <w:lvlText w:val="•"/>
      <w:lvlJc w:val="left"/>
      <w:pPr>
        <w:tabs>
          <w:tab w:val="num" w:pos="5400"/>
        </w:tabs>
        <w:ind w:left="5400" w:hanging="360"/>
      </w:pPr>
      <w:rPr>
        <w:rFonts w:ascii="Times New Roman" w:hAnsi="Times New Roman" w:hint="default"/>
      </w:rPr>
    </w:lvl>
    <w:lvl w:ilvl="8" w:tplc="DCE0121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453F332D"/>
    <w:multiLevelType w:val="hybridMultilevel"/>
    <w:tmpl w:val="E2383C34"/>
    <w:lvl w:ilvl="0" w:tplc="E9D4F406">
      <w:start w:val="1"/>
      <w:numFmt w:val="bullet"/>
      <w:lvlText w:val="•"/>
      <w:lvlJc w:val="left"/>
      <w:pPr>
        <w:tabs>
          <w:tab w:val="num" w:pos="360"/>
        </w:tabs>
        <w:ind w:left="360" w:hanging="360"/>
      </w:pPr>
      <w:rPr>
        <w:rFonts w:ascii="Times New Roman" w:hAnsi="Times New Roman" w:hint="default"/>
      </w:rPr>
    </w:lvl>
    <w:lvl w:ilvl="1" w:tplc="260C1DDA" w:tentative="1">
      <w:start w:val="1"/>
      <w:numFmt w:val="bullet"/>
      <w:lvlText w:val="•"/>
      <w:lvlJc w:val="left"/>
      <w:pPr>
        <w:tabs>
          <w:tab w:val="num" w:pos="1080"/>
        </w:tabs>
        <w:ind w:left="1080" w:hanging="360"/>
      </w:pPr>
      <w:rPr>
        <w:rFonts w:ascii="Times New Roman" w:hAnsi="Times New Roman" w:hint="default"/>
      </w:rPr>
    </w:lvl>
    <w:lvl w:ilvl="2" w:tplc="BB649A8E" w:tentative="1">
      <w:start w:val="1"/>
      <w:numFmt w:val="bullet"/>
      <w:lvlText w:val="•"/>
      <w:lvlJc w:val="left"/>
      <w:pPr>
        <w:tabs>
          <w:tab w:val="num" w:pos="1800"/>
        </w:tabs>
        <w:ind w:left="1800" w:hanging="360"/>
      </w:pPr>
      <w:rPr>
        <w:rFonts w:ascii="Times New Roman" w:hAnsi="Times New Roman" w:hint="default"/>
      </w:rPr>
    </w:lvl>
    <w:lvl w:ilvl="3" w:tplc="CA56C776" w:tentative="1">
      <w:start w:val="1"/>
      <w:numFmt w:val="bullet"/>
      <w:lvlText w:val="•"/>
      <w:lvlJc w:val="left"/>
      <w:pPr>
        <w:tabs>
          <w:tab w:val="num" w:pos="2520"/>
        </w:tabs>
        <w:ind w:left="2520" w:hanging="360"/>
      </w:pPr>
      <w:rPr>
        <w:rFonts w:ascii="Times New Roman" w:hAnsi="Times New Roman" w:hint="default"/>
      </w:rPr>
    </w:lvl>
    <w:lvl w:ilvl="4" w:tplc="80A8507A" w:tentative="1">
      <w:start w:val="1"/>
      <w:numFmt w:val="bullet"/>
      <w:lvlText w:val="•"/>
      <w:lvlJc w:val="left"/>
      <w:pPr>
        <w:tabs>
          <w:tab w:val="num" w:pos="3240"/>
        </w:tabs>
        <w:ind w:left="3240" w:hanging="360"/>
      </w:pPr>
      <w:rPr>
        <w:rFonts w:ascii="Times New Roman" w:hAnsi="Times New Roman" w:hint="default"/>
      </w:rPr>
    </w:lvl>
    <w:lvl w:ilvl="5" w:tplc="C400C090" w:tentative="1">
      <w:start w:val="1"/>
      <w:numFmt w:val="bullet"/>
      <w:lvlText w:val="•"/>
      <w:lvlJc w:val="left"/>
      <w:pPr>
        <w:tabs>
          <w:tab w:val="num" w:pos="3960"/>
        </w:tabs>
        <w:ind w:left="3960" w:hanging="360"/>
      </w:pPr>
      <w:rPr>
        <w:rFonts w:ascii="Times New Roman" w:hAnsi="Times New Roman" w:hint="default"/>
      </w:rPr>
    </w:lvl>
    <w:lvl w:ilvl="6" w:tplc="E3EECB50" w:tentative="1">
      <w:start w:val="1"/>
      <w:numFmt w:val="bullet"/>
      <w:lvlText w:val="•"/>
      <w:lvlJc w:val="left"/>
      <w:pPr>
        <w:tabs>
          <w:tab w:val="num" w:pos="4680"/>
        </w:tabs>
        <w:ind w:left="4680" w:hanging="360"/>
      </w:pPr>
      <w:rPr>
        <w:rFonts w:ascii="Times New Roman" w:hAnsi="Times New Roman" w:hint="default"/>
      </w:rPr>
    </w:lvl>
    <w:lvl w:ilvl="7" w:tplc="7304C5F4" w:tentative="1">
      <w:start w:val="1"/>
      <w:numFmt w:val="bullet"/>
      <w:lvlText w:val="•"/>
      <w:lvlJc w:val="left"/>
      <w:pPr>
        <w:tabs>
          <w:tab w:val="num" w:pos="5400"/>
        </w:tabs>
        <w:ind w:left="5400" w:hanging="360"/>
      </w:pPr>
      <w:rPr>
        <w:rFonts w:ascii="Times New Roman" w:hAnsi="Times New Roman" w:hint="default"/>
      </w:rPr>
    </w:lvl>
    <w:lvl w:ilvl="8" w:tplc="C76CF274"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5C9D351E"/>
    <w:multiLevelType w:val="hybridMultilevel"/>
    <w:tmpl w:val="029C6356"/>
    <w:lvl w:ilvl="0" w:tplc="4B961AF6">
      <w:start w:val="1"/>
      <w:numFmt w:val="bullet"/>
      <w:lvlText w:val="•"/>
      <w:lvlJc w:val="left"/>
      <w:pPr>
        <w:tabs>
          <w:tab w:val="num" w:pos="360"/>
        </w:tabs>
        <w:ind w:left="360" w:hanging="360"/>
      </w:pPr>
      <w:rPr>
        <w:rFonts w:ascii="Times New Roman" w:hAnsi="Times New Roman" w:hint="default"/>
      </w:rPr>
    </w:lvl>
    <w:lvl w:ilvl="1" w:tplc="9F24C592" w:tentative="1">
      <w:start w:val="1"/>
      <w:numFmt w:val="bullet"/>
      <w:lvlText w:val="•"/>
      <w:lvlJc w:val="left"/>
      <w:pPr>
        <w:tabs>
          <w:tab w:val="num" w:pos="1080"/>
        </w:tabs>
        <w:ind w:left="1080" w:hanging="360"/>
      </w:pPr>
      <w:rPr>
        <w:rFonts w:ascii="Times New Roman" w:hAnsi="Times New Roman" w:hint="default"/>
      </w:rPr>
    </w:lvl>
    <w:lvl w:ilvl="2" w:tplc="10005420" w:tentative="1">
      <w:start w:val="1"/>
      <w:numFmt w:val="bullet"/>
      <w:lvlText w:val="•"/>
      <w:lvlJc w:val="left"/>
      <w:pPr>
        <w:tabs>
          <w:tab w:val="num" w:pos="1800"/>
        </w:tabs>
        <w:ind w:left="1800" w:hanging="360"/>
      </w:pPr>
      <w:rPr>
        <w:rFonts w:ascii="Times New Roman" w:hAnsi="Times New Roman" w:hint="default"/>
      </w:rPr>
    </w:lvl>
    <w:lvl w:ilvl="3" w:tplc="C700D7BA" w:tentative="1">
      <w:start w:val="1"/>
      <w:numFmt w:val="bullet"/>
      <w:lvlText w:val="•"/>
      <w:lvlJc w:val="left"/>
      <w:pPr>
        <w:tabs>
          <w:tab w:val="num" w:pos="2520"/>
        </w:tabs>
        <w:ind w:left="2520" w:hanging="360"/>
      </w:pPr>
      <w:rPr>
        <w:rFonts w:ascii="Times New Roman" w:hAnsi="Times New Roman" w:hint="default"/>
      </w:rPr>
    </w:lvl>
    <w:lvl w:ilvl="4" w:tplc="84ECDEA2" w:tentative="1">
      <w:start w:val="1"/>
      <w:numFmt w:val="bullet"/>
      <w:lvlText w:val="•"/>
      <w:lvlJc w:val="left"/>
      <w:pPr>
        <w:tabs>
          <w:tab w:val="num" w:pos="3240"/>
        </w:tabs>
        <w:ind w:left="3240" w:hanging="360"/>
      </w:pPr>
      <w:rPr>
        <w:rFonts w:ascii="Times New Roman" w:hAnsi="Times New Roman" w:hint="default"/>
      </w:rPr>
    </w:lvl>
    <w:lvl w:ilvl="5" w:tplc="8E7CCB76" w:tentative="1">
      <w:start w:val="1"/>
      <w:numFmt w:val="bullet"/>
      <w:lvlText w:val="•"/>
      <w:lvlJc w:val="left"/>
      <w:pPr>
        <w:tabs>
          <w:tab w:val="num" w:pos="3960"/>
        </w:tabs>
        <w:ind w:left="3960" w:hanging="360"/>
      </w:pPr>
      <w:rPr>
        <w:rFonts w:ascii="Times New Roman" w:hAnsi="Times New Roman" w:hint="default"/>
      </w:rPr>
    </w:lvl>
    <w:lvl w:ilvl="6" w:tplc="03A8A964" w:tentative="1">
      <w:start w:val="1"/>
      <w:numFmt w:val="bullet"/>
      <w:lvlText w:val="•"/>
      <w:lvlJc w:val="left"/>
      <w:pPr>
        <w:tabs>
          <w:tab w:val="num" w:pos="4680"/>
        </w:tabs>
        <w:ind w:left="4680" w:hanging="360"/>
      </w:pPr>
      <w:rPr>
        <w:rFonts w:ascii="Times New Roman" w:hAnsi="Times New Roman" w:hint="default"/>
      </w:rPr>
    </w:lvl>
    <w:lvl w:ilvl="7" w:tplc="CBE81096" w:tentative="1">
      <w:start w:val="1"/>
      <w:numFmt w:val="bullet"/>
      <w:lvlText w:val="•"/>
      <w:lvlJc w:val="left"/>
      <w:pPr>
        <w:tabs>
          <w:tab w:val="num" w:pos="5400"/>
        </w:tabs>
        <w:ind w:left="5400" w:hanging="360"/>
      </w:pPr>
      <w:rPr>
        <w:rFonts w:ascii="Times New Roman" w:hAnsi="Times New Roman" w:hint="default"/>
      </w:rPr>
    </w:lvl>
    <w:lvl w:ilvl="8" w:tplc="88AE2418"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611D5C7D"/>
    <w:multiLevelType w:val="hybridMultilevel"/>
    <w:tmpl w:val="D3526B00"/>
    <w:lvl w:ilvl="0" w:tplc="55BEEAC2">
      <w:start w:val="1"/>
      <w:numFmt w:val="bullet"/>
      <w:lvlText w:val="•"/>
      <w:lvlJc w:val="left"/>
      <w:pPr>
        <w:tabs>
          <w:tab w:val="num" w:pos="360"/>
        </w:tabs>
        <w:ind w:left="360" w:hanging="360"/>
      </w:pPr>
      <w:rPr>
        <w:rFonts w:ascii="Times New Roman" w:hAnsi="Times New Roman" w:hint="default"/>
      </w:rPr>
    </w:lvl>
    <w:lvl w:ilvl="1" w:tplc="C2888F86" w:tentative="1">
      <w:start w:val="1"/>
      <w:numFmt w:val="bullet"/>
      <w:lvlText w:val="•"/>
      <w:lvlJc w:val="left"/>
      <w:pPr>
        <w:tabs>
          <w:tab w:val="num" w:pos="1080"/>
        </w:tabs>
        <w:ind w:left="1080" w:hanging="360"/>
      </w:pPr>
      <w:rPr>
        <w:rFonts w:ascii="Times New Roman" w:hAnsi="Times New Roman" w:hint="default"/>
      </w:rPr>
    </w:lvl>
    <w:lvl w:ilvl="2" w:tplc="AEAA4736" w:tentative="1">
      <w:start w:val="1"/>
      <w:numFmt w:val="bullet"/>
      <w:lvlText w:val="•"/>
      <w:lvlJc w:val="left"/>
      <w:pPr>
        <w:tabs>
          <w:tab w:val="num" w:pos="1800"/>
        </w:tabs>
        <w:ind w:left="1800" w:hanging="360"/>
      </w:pPr>
      <w:rPr>
        <w:rFonts w:ascii="Times New Roman" w:hAnsi="Times New Roman" w:hint="default"/>
      </w:rPr>
    </w:lvl>
    <w:lvl w:ilvl="3" w:tplc="49EEBC1A" w:tentative="1">
      <w:start w:val="1"/>
      <w:numFmt w:val="bullet"/>
      <w:lvlText w:val="•"/>
      <w:lvlJc w:val="left"/>
      <w:pPr>
        <w:tabs>
          <w:tab w:val="num" w:pos="2520"/>
        </w:tabs>
        <w:ind w:left="2520" w:hanging="360"/>
      </w:pPr>
      <w:rPr>
        <w:rFonts w:ascii="Times New Roman" w:hAnsi="Times New Roman" w:hint="default"/>
      </w:rPr>
    </w:lvl>
    <w:lvl w:ilvl="4" w:tplc="DA5A3F54" w:tentative="1">
      <w:start w:val="1"/>
      <w:numFmt w:val="bullet"/>
      <w:lvlText w:val="•"/>
      <w:lvlJc w:val="left"/>
      <w:pPr>
        <w:tabs>
          <w:tab w:val="num" w:pos="3240"/>
        </w:tabs>
        <w:ind w:left="3240" w:hanging="360"/>
      </w:pPr>
      <w:rPr>
        <w:rFonts w:ascii="Times New Roman" w:hAnsi="Times New Roman" w:hint="default"/>
      </w:rPr>
    </w:lvl>
    <w:lvl w:ilvl="5" w:tplc="E5521642" w:tentative="1">
      <w:start w:val="1"/>
      <w:numFmt w:val="bullet"/>
      <w:lvlText w:val="•"/>
      <w:lvlJc w:val="left"/>
      <w:pPr>
        <w:tabs>
          <w:tab w:val="num" w:pos="3960"/>
        </w:tabs>
        <w:ind w:left="3960" w:hanging="360"/>
      </w:pPr>
      <w:rPr>
        <w:rFonts w:ascii="Times New Roman" w:hAnsi="Times New Roman" w:hint="default"/>
      </w:rPr>
    </w:lvl>
    <w:lvl w:ilvl="6" w:tplc="1F0A2250" w:tentative="1">
      <w:start w:val="1"/>
      <w:numFmt w:val="bullet"/>
      <w:lvlText w:val="•"/>
      <w:lvlJc w:val="left"/>
      <w:pPr>
        <w:tabs>
          <w:tab w:val="num" w:pos="4680"/>
        </w:tabs>
        <w:ind w:left="4680" w:hanging="360"/>
      </w:pPr>
      <w:rPr>
        <w:rFonts w:ascii="Times New Roman" w:hAnsi="Times New Roman" w:hint="default"/>
      </w:rPr>
    </w:lvl>
    <w:lvl w:ilvl="7" w:tplc="CBBC747E" w:tentative="1">
      <w:start w:val="1"/>
      <w:numFmt w:val="bullet"/>
      <w:lvlText w:val="•"/>
      <w:lvlJc w:val="left"/>
      <w:pPr>
        <w:tabs>
          <w:tab w:val="num" w:pos="5400"/>
        </w:tabs>
        <w:ind w:left="5400" w:hanging="360"/>
      </w:pPr>
      <w:rPr>
        <w:rFonts w:ascii="Times New Roman" w:hAnsi="Times New Roman" w:hint="default"/>
      </w:rPr>
    </w:lvl>
    <w:lvl w:ilvl="8" w:tplc="885EE0D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63E057BA"/>
    <w:multiLevelType w:val="hybridMultilevel"/>
    <w:tmpl w:val="6AAA98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B52038A"/>
    <w:multiLevelType w:val="hybridMultilevel"/>
    <w:tmpl w:val="A428FF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EB42BE8"/>
    <w:multiLevelType w:val="hybridMultilevel"/>
    <w:tmpl w:val="3954A00A"/>
    <w:lvl w:ilvl="0" w:tplc="15027382">
      <w:start w:val="1"/>
      <w:numFmt w:val="bullet"/>
      <w:lvlText w:val=""/>
      <w:lvlJc w:val="left"/>
      <w:pPr>
        <w:tabs>
          <w:tab w:val="num" w:pos="720"/>
        </w:tabs>
        <w:ind w:left="720" w:hanging="360"/>
      </w:pPr>
      <w:rPr>
        <w:rFonts w:ascii="Wingdings" w:hAnsi="Wingdings" w:hint="default"/>
      </w:rPr>
    </w:lvl>
    <w:lvl w:ilvl="1" w:tplc="C3D6743A" w:tentative="1">
      <w:start w:val="1"/>
      <w:numFmt w:val="bullet"/>
      <w:lvlText w:val=""/>
      <w:lvlJc w:val="left"/>
      <w:pPr>
        <w:tabs>
          <w:tab w:val="num" w:pos="1440"/>
        </w:tabs>
        <w:ind w:left="1440" w:hanging="360"/>
      </w:pPr>
      <w:rPr>
        <w:rFonts w:ascii="Wingdings" w:hAnsi="Wingdings" w:hint="default"/>
      </w:rPr>
    </w:lvl>
    <w:lvl w:ilvl="2" w:tplc="40AC59DA" w:tentative="1">
      <w:start w:val="1"/>
      <w:numFmt w:val="bullet"/>
      <w:lvlText w:val=""/>
      <w:lvlJc w:val="left"/>
      <w:pPr>
        <w:tabs>
          <w:tab w:val="num" w:pos="2160"/>
        </w:tabs>
        <w:ind w:left="2160" w:hanging="360"/>
      </w:pPr>
      <w:rPr>
        <w:rFonts w:ascii="Wingdings" w:hAnsi="Wingdings" w:hint="default"/>
      </w:rPr>
    </w:lvl>
    <w:lvl w:ilvl="3" w:tplc="76A044DE" w:tentative="1">
      <w:start w:val="1"/>
      <w:numFmt w:val="bullet"/>
      <w:lvlText w:val=""/>
      <w:lvlJc w:val="left"/>
      <w:pPr>
        <w:tabs>
          <w:tab w:val="num" w:pos="2880"/>
        </w:tabs>
        <w:ind w:left="2880" w:hanging="360"/>
      </w:pPr>
      <w:rPr>
        <w:rFonts w:ascii="Wingdings" w:hAnsi="Wingdings" w:hint="default"/>
      </w:rPr>
    </w:lvl>
    <w:lvl w:ilvl="4" w:tplc="6B38A10C" w:tentative="1">
      <w:start w:val="1"/>
      <w:numFmt w:val="bullet"/>
      <w:lvlText w:val=""/>
      <w:lvlJc w:val="left"/>
      <w:pPr>
        <w:tabs>
          <w:tab w:val="num" w:pos="3600"/>
        </w:tabs>
        <w:ind w:left="3600" w:hanging="360"/>
      </w:pPr>
      <w:rPr>
        <w:rFonts w:ascii="Wingdings" w:hAnsi="Wingdings" w:hint="default"/>
      </w:rPr>
    </w:lvl>
    <w:lvl w:ilvl="5" w:tplc="F3EC5190" w:tentative="1">
      <w:start w:val="1"/>
      <w:numFmt w:val="bullet"/>
      <w:lvlText w:val=""/>
      <w:lvlJc w:val="left"/>
      <w:pPr>
        <w:tabs>
          <w:tab w:val="num" w:pos="4320"/>
        </w:tabs>
        <w:ind w:left="4320" w:hanging="360"/>
      </w:pPr>
      <w:rPr>
        <w:rFonts w:ascii="Wingdings" w:hAnsi="Wingdings" w:hint="default"/>
      </w:rPr>
    </w:lvl>
    <w:lvl w:ilvl="6" w:tplc="9998D1DE" w:tentative="1">
      <w:start w:val="1"/>
      <w:numFmt w:val="bullet"/>
      <w:lvlText w:val=""/>
      <w:lvlJc w:val="left"/>
      <w:pPr>
        <w:tabs>
          <w:tab w:val="num" w:pos="5040"/>
        </w:tabs>
        <w:ind w:left="5040" w:hanging="360"/>
      </w:pPr>
      <w:rPr>
        <w:rFonts w:ascii="Wingdings" w:hAnsi="Wingdings" w:hint="default"/>
      </w:rPr>
    </w:lvl>
    <w:lvl w:ilvl="7" w:tplc="BC24616C" w:tentative="1">
      <w:start w:val="1"/>
      <w:numFmt w:val="bullet"/>
      <w:lvlText w:val=""/>
      <w:lvlJc w:val="left"/>
      <w:pPr>
        <w:tabs>
          <w:tab w:val="num" w:pos="5760"/>
        </w:tabs>
        <w:ind w:left="5760" w:hanging="360"/>
      </w:pPr>
      <w:rPr>
        <w:rFonts w:ascii="Wingdings" w:hAnsi="Wingdings" w:hint="default"/>
      </w:rPr>
    </w:lvl>
    <w:lvl w:ilvl="8" w:tplc="E842C3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302409"/>
    <w:multiLevelType w:val="hybridMultilevel"/>
    <w:tmpl w:val="D9D2CF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EBA0255"/>
    <w:multiLevelType w:val="hybridMultilevel"/>
    <w:tmpl w:val="70222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2"/>
  </w:num>
  <w:num w:numId="5">
    <w:abstractNumId w:val="8"/>
  </w:num>
  <w:num w:numId="6">
    <w:abstractNumId w:val="7"/>
  </w:num>
  <w:num w:numId="7">
    <w:abstractNumId w:val="0"/>
  </w:num>
  <w:num w:numId="8">
    <w:abstractNumId w:val="1"/>
  </w:num>
  <w:num w:numId="9">
    <w:abstractNumId w:val="3"/>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03"/>
    <w:rsid w:val="00072BD7"/>
    <w:rsid w:val="001053EE"/>
    <w:rsid w:val="001C784A"/>
    <w:rsid w:val="00255998"/>
    <w:rsid w:val="002A5307"/>
    <w:rsid w:val="002C1B59"/>
    <w:rsid w:val="002C202F"/>
    <w:rsid w:val="002D2596"/>
    <w:rsid w:val="00314DFD"/>
    <w:rsid w:val="00330FA6"/>
    <w:rsid w:val="0036198B"/>
    <w:rsid w:val="0052206A"/>
    <w:rsid w:val="00557DF9"/>
    <w:rsid w:val="005A1A95"/>
    <w:rsid w:val="0060646A"/>
    <w:rsid w:val="006B2B6A"/>
    <w:rsid w:val="006B7ABE"/>
    <w:rsid w:val="006C19D5"/>
    <w:rsid w:val="006C7F31"/>
    <w:rsid w:val="00707364"/>
    <w:rsid w:val="00721130"/>
    <w:rsid w:val="008F18A8"/>
    <w:rsid w:val="00935F35"/>
    <w:rsid w:val="009D7A03"/>
    <w:rsid w:val="00A06ADC"/>
    <w:rsid w:val="00A603A2"/>
    <w:rsid w:val="00A75C44"/>
    <w:rsid w:val="00A9549B"/>
    <w:rsid w:val="00B13D02"/>
    <w:rsid w:val="00B513C3"/>
    <w:rsid w:val="00C05D14"/>
    <w:rsid w:val="00C4510C"/>
    <w:rsid w:val="00C72308"/>
    <w:rsid w:val="00C770D9"/>
    <w:rsid w:val="00D14492"/>
    <w:rsid w:val="00D260DB"/>
    <w:rsid w:val="00DD6D80"/>
    <w:rsid w:val="00E3225B"/>
    <w:rsid w:val="00E71699"/>
    <w:rsid w:val="00EC062F"/>
    <w:rsid w:val="00EE01F3"/>
    <w:rsid w:val="00EF7586"/>
    <w:rsid w:val="00EF76DC"/>
    <w:rsid w:val="00F13B0F"/>
    <w:rsid w:val="00F26019"/>
    <w:rsid w:val="00F40A10"/>
    <w:rsid w:val="00F80ADD"/>
    <w:rsid w:val="00F85D66"/>
    <w:rsid w:val="00FB0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7A0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03"/>
    <w:pPr>
      <w:tabs>
        <w:tab w:val="center" w:pos="4680"/>
        <w:tab w:val="right" w:pos="9360"/>
      </w:tabs>
    </w:pPr>
  </w:style>
  <w:style w:type="character" w:customStyle="1" w:styleId="HeaderChar">
    <w:name w:val="Header Char"/>
    <w:basedOn w:val="DefaultParagraphFont"/>
    <w:link w:val="Header"/>
    <w:uiPriority w:val="99"/>
    <w:rsid w:val="009D7A03"/>
  </w:style>
  <w:style w:type="paragraph" w:styleId="Footer">
    <w:name w:val="footer"/>
    <w:basedOn w:val="Normal"/>
    <w:link w:val="FooterChar"/>
    <w:uiPriority w:val="99"/>
    <w:unhideWhenUsed/>
    <w:rsid w:val="009D7A03"/>
    <w:pPr>
      <w:tabs>
        <w:tab w:val="center" w:pos="4680"/>
        <w:tab w:val="right" w:pos="9360"/>
      </w:tabs>
    </w:pPr>
  </w:style>
  <w:style w:type="character" w:customStyle="1" w:styleId="FooterChar">
    <w:name w:val="Footer Char"/>
    <w:basedOn w:val="DefaultParagraphFont"/>
    <w:link w:val="Footer"/>
    <w:uiPriority w:val="99"/>
    <w:rsid w:val="009D7A03"/>
  </w:style>
  <w:style w:type="paragraph" w:styleId="NormalWeb">
    <w:name w:val="Normal (Web)"/>
    <w:basedOn w:val="Normal"/>
    <w:uiPriority w:val="99"/>
    <w:unhideWhenUsed/>
    <w:rsid w:val="009D7A0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D7A03"/>
    <w:rPr>
      <w:b/>
      <w:bCs/>
    </w:rPr>
  </w:style>
  <w:style w:type="character" w:styleId="IntenseReference">
    <w:name w:val="Intense Reference"/>
    <w:basedOn w:val="DefaultParagraphFont"/>
    <w:uiPriority w:val="32"/>
    <w:qFormat/>
    <w:rsid w:val="009D7A03"/>
    <w:rPr>
      <w:b/>
      <w:bCs/>
      <w:smallCaps/>
      <w:color w:val="5B9BD5" w:themeColor="accent1"/>
      <w:spacing w:val="5"/>
    </w:rPr>
  </w:style>
  <w:style w:type="character" w:styleId="SubtleReference">
    <w:name w:val="Subtle Reference"/>
    <w:basedOn w:val="DefaultParagraphFont"/>
    <w:uiPriority w:val="31"/>
    <w:qFormat/>
    <w:rsid w:val="009D7A03"/>
    <w:rPr>
      <w:smallCaps/>
      <w:color w:val="5A5A5A" w:themeColor="text1" w:themeTint="A5"/>
    </w:rPr>
  </w:style>
  <w:style w:type="character" w:customStyle="1" w:styleId="Heading2Char">
    <w:name w:val="Heading 2 Char"/>
    <w:basedOn w:val="DefaultParagraphFont"/>
    <w:link w:val="Heading2"/>
    <w:uiPriority w:val="9"/>
    <w:rsid w:val="009D7A0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D7A0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0646A"/>
    <w:pPr>
      <w:ind w:left="720"/>
      <w:contextualSpacing/>
    </w:pPr>
  </w:style>
  <w:style w:type="table" w:styleId="TableGrid">
    <w:name w:val="Table Grid"/>
    <w:basedOn w:val="TableNormal"/>
    <w:uiPriority w:val="39"/>
    <w:rsid w:val="00E3225B"/>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364"/>
    <w:rPr>
      <w:color w:val="0563C1" w:themeColor="hyperlink"/>
      <w:u w:val="single"/>
    </w:rPr>
  </w:style>
  <w:style w:type="paragraph" w:styleId="BalloonText">
    <w:name w:val="Balloon Text"/>
    <w:basedOn w:val="Normal"/>
    <w:link w:val="BalloonTextChar"/>
    <w:uiPriority w:val="99"/>
    <w:semiHidden/>
    <w:unhideWhenUsed/>
    <w:rsid w:val="00105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21748">
      <w:bodyDiv w:val="1"/>
      <w:marLeft w:val="0"/>
      <w:marRight w:val="0"/>
      <w:marTop w:val="0"/>
      <w:marBottom w:val="0"/>
      <w:divBdr>
        <w:top w:val="none" w:sz="0" w:space="0" w:color="auto"/>
        <w:left w:val="none" w:sz="0" w:space="0" w:color="auto"/>
        <w:bottom w:val="none" w:sz="0" w:space="0" w:color="auto"/>
        <w:right w:val="none" w:sz="0" w:space="0" w:color="auto"/>
      </w:divBdr>
      <w:divsChild>
        <w:div w:id="122577054">
          <w:marLeft w:val="360"/>
          <w:marRight w:val="0"/>
          <w:marTop w:val="200"/>
          <w:marBottom w:val="0"/>
          <w:divBdr>
            <w:top w:val="none" w:sz="0" w:space="0" w:color="auto"/>
            <w:left w:val="none" w:sz="0" w:space="0" w:color="auto"/>
            <w:bottom w:val="none" w:sz="0" w:space="0" w:color="auto"/>
            <w:right w:val="none" w:sz="0" w:space="0" w:color="auto"/>
          </w:divBdr>
        </w:div>
        <w:div w:id="1372417463">
          <w:marLeft w:val="360"/>
          <w:marRight w:val="0"/>
          <w:marTop w:val="200"/>
          <w:marBottom w:val="0"/>
          <w:divBdr>
            <w:top w:val="none" w:sz="0" w:space="0" w:color="auto"/>
            <w:left w:val="none" w:sz="0" w:space="0" w:color="auto"/>
            <w:bottom w:val="none" w:sz="0" w:space="0" w:color="auto"/>
            <w:right w:val="none" w:sz="0" w:space="0" w:color="auto"/>
          </w:divBdr>
        </w:div>
      </w:divsChild>
    </w:div>
    <w:div w:id="1079711206">
      <w:bodyDiv w:val="1"/>
      <w:marLeft w:val="0"/>
      <w:marRight w:val="0"/>
      <w:marTop w:val="0"/>
      <w:marBottom w:val="0"/>
      <w:divBdr>
        <w:top w:val="none" w:sz="0" w:space="0" w:color="auto"/>
        <w:left w:val="none" w:sz="0" w:space="0" w:color="auto"/>
        <w:bottom w:val="none" w:sz="0" w:space="0" w:color="auto"/>
        <w:right w:val="none" w:sz="0" w:space="0" w:color="auto"/>
      </w:divBdr>
    </w:div>
    <w:div w:id="1902131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nie.turcot@international.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Neville</dc:creator>
  <cp:keywords/>
  <dc:description/>
  <cp:lastModifiedBy>Turcot, Joanie -PVS</cp:lastModifiedBy>
  <cp:revision>2</cp:revision>
  <dcterms:created xsi:type="dcterms:W3CDTF">2021-04-13T17:02:00Z</dcterms:created>
  <dcterms:modified xsi:type="dcterms:W3CDTF">2021-04-13T17:02:00Z</dcterms:modified>
</cp:coreProperties>
</file>